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E93DF" w14:textId="77777777" w:rsidR="00C7121F" w:rsidRPr="003A41DF" w:rsidRDefault="00332248" w:rsidP="00940DCC">
      <w:pPr>
        <w:rPr>
          <w:rFonts w:ascii="Open Sans" w:hAnsi="Open Sans" w:cs="Open Sans"/>
        </w:rPr>
      </w:pPr>
      <w:r w:rsidRPr="003A41DF">
        <w:rPr>
          <w:rFonts w:ascii="Open Sans" w:hAnsi="Open Sans" w:cs="Open Sans"/>
        </w:rPr>
        <w:t xml:space="preserve">February </w:t>
      </w:r>
      <w:r w:rsidR="00C1739A">
        <w:rPr>
          <w:rFonts w:ascii="Open Sans" w:hAnsi="Open Sans" w:cs="Open Sans"/>
        </w:rPr>
        <w:t>9</w:t>
      </w:r>
      <w:r w:rsidR="00645954" w:rsidRPr="003A41DF">
        <w:rPr>
          <w:rFonts w:ascii="Open Sans" w:hAnsi="Open Sans" w:cs="Open Sans"/>
        </w:rPr>
        <w:t>, 2018</w:t>
      </w:r>
    </w:p>
    <w:p w14:paraId="3C6BC853" w14:textId="77777777" w:rsidR="004A3678" w:rsidRPr="003A41DF" w:rsidRDefault="00D72E6E" w:rsidP="00773317">
      <w:pPr>
        <w:pStyle w:val="NoSpacing"/>
        <w:rPr>
          <w:rFonts w:ascii="Open Sans" w:hAnsi="Open Sans" w:cs="Open Sans"/>
        </w:rPr>
      </w:pPr>
      <w:r w:rsidRPr="003A41DF">
        <w:rPr>
          <w:rFonts w:ascii="Open Sans" w:hAnsi="Open Sans" w:cs="Open Sans"/>
        </w:rPr>
        <w:t>Office of the National Coordinator for Health Information Technology</w:t>
      </w:r>
    </w:p>
    <w:p w14:paraId="0DF0EABA" w14:textId="77777777" w:rsidR="00100DFF" w:rsidRPr="003A41DF" w:rsidRDefault="00100DFF" w:rsidP="00773317">
      <w:pPr>
        <w:pStyle w:val="NoSpacing"/>
        <w:rPr>
          <w:rFonts w:ascii="Open Sans" w:hAnsi="Open Sans" w:cs="Open Sans"/>
        </w:rPr>
      </w:pPr>
    </w:p>
    <w:p w14:paraId="6E699B7D" w14:textId="77777777" w:rsidR="00773317" w:rsidRPr="003A41DF" w:rsidRDefault="00000EDF" w:rsidP="00773317">
      <w:pPr>
        <w:pStyle w:val="NoSpacing"/>
        <w:rPr>
          <w:rFonts w:ascii="Open Sans" w:hAnsi="Open Sans" w:cs="Open Sans"/>
        </w:rPr>
      </w:pPr>
      <w:r w:rsidRPr="003A41DF">
        <w:rPr>
          <w:rFonts w:ascii="Open Sans" w:hAnsi="Open Sans" w:cs="Open Sans"/>
        </w:rPr>
        <w:t xml:space="preserve">Comments </w:t>
      </w:r>
      <w:r w:rsidR="004A3678" w:rsidRPr="003A41DF">
        <w:rPr>
          <w:rFonts w:ascii="Open Sans" w:hAnsi="Open Sans" w:cs="Open Sans"/>
        </w:rPr>
        <w:t>Submitted Electronically</w:t>
      </w:r>
      <w:r w:rsidRPr="003A41DF">
        <w:rPr>
          <w:rFonts w:ascii="Open Sans" w:hAnsi="Open Sans" w:cs="Open Sans"/>
        </w:rPr>
        <w:t xml:space="preserve"> to: </w:t>
      </w:r>
      <w:r w:rsidR="00100DFF" w:rsidRPr="003A41DF">
        <w:rPr>
          <w:rFonts w:ascii="Open Sans" w:hAnsi="Open Sans" w:cs="Open Sans"/>
          <w:b/>
          <w:u w:val="single"/>
        </w:rPr>
        <w:t>exchangeframework@hhs.gov</w:t>
      </w:r>
      <w:r w:rsidRPr="003A41DF">
        <w:rPr>
          <w:rFonts w:ascii="Open Sans" w:hAnsi="Open Sans" w:cs="Open Sans"/>
        </w:rPr>
        <w:t xml:space="preserve"> </w:t>
      </w:r>
    </w:p>
    <w:p w14:paraId="647EF3E8" w14:textId="77777777" w:rsidR="00100DFF" w:rsidRPr="003A41DF" w:rsidRDefault="00100DFF" w:rsidP="00773317">
      <w:pPr>
        <w:pStyle w:val="NoSpacing"/>
        <w:rPr>
          <w:rFonts w:ascii="Open Sans" w:hAnsi="Open Sans" w:cs="Open Sans"/>
        </w:rPr>
      </w:pPr>
    </w:p>
    <w:p w14:paraId="756001E4" w14:textId="77777777" w:rsidR="00D72E6E" w:rsidRPr="003A41DF" w:rsidRDefault="00D72E6E" w:rsidP="00D72E6E">
      <w:pPr>
        <w:rPr>
          <w:rFonts w:ascii="Open Sans" w:hAnsi="Open Sans" w:cs="Open Sans"/>
        </w:rPr>
      </w:pPr>
      <w:r w:rsidRPr="003A41DF">
        <w:rPr>
          <w:rFonts w:ascii="Open Sans" w:hAnsi="Open Sans" w:cs="Open Sans"/>
        </w:rPr>
        <w:t xml:space="preserve">RE: </w:t>
      </w:r>
      <w:r w:rsidR="00950E73" w:rsidRPr="003A41DF">
        <w:rPr>
          <w:rFonts w:ascii="Open Sans" w:hAnsi="Open Sans" w:cs="Open Sans"/>
        </w:rPr>
        <w:t xml:space="preserve">Public Comment on </w:t>
      </w:r>
      <w:r w:rsidR="00000EDF" w:rsidRPr="003A41DF">
        <w:rPr>
          <w:rFonts w:ascii="Open Sans" w:hAnsi="Open Sans" w:cs="Open Sans"/>
        </w:rPr>
        <w:t>Draft Trusted Exchange Framework</w:t>
      </w:r>
      <w:r w:rsidR="00ED0AFF" w:rsidRPr="003A41DF">
        <w:rPr>
          <w:rFonts w:ascii="Open Sans" w:hAnsi="Open Sans" w:cs="Open Sans"/>
        </w:rPr>
        <w:t xml:space="preserve"> and US Core Data for Interoperability</w:t>
      </w:r>
    </w:p>
    <w:p w14:paraId="7F357645" w14:textId="77777777" w:rsidR="00C7121F" w:rsidRPr="003A41DF" w:rsidRDefault="00C7121F" w:rsidP="004A3678">
      <w:pPr>
        <w:pStyle w:val="NoSpacing"/>
        <w:rPr>
          <w:rFonts w:ascii="Open Sans" w:hAnsi="Open Sans" w:cs="Open Sans"/>
        </w:rPr>
      </w:pPr>
    </w:p>
    <w:p w14:paraId="41072B61" w14:textId="77777777" w:rsidR="00D72E6E" w:rsidRPr="003A41DF" w:rsidRDefault="00D72E6E" w:rsidP="004A3678">
      <w:pPr>
        <w:pStyle w:val="NoSpacing"/>
        <w:rPr>
          <w:rFonts w:ascii="Open Sans" w:hAnsi="Open Sans" w:cs="Open Sans"/>
        </w:rPr>
      </w:pPr>
      <w:r w:rsidRPr="003A41DF">
        <w:rPr>
          <w:rFonts w:ascii="Open Sans" w:hAnsi="Open Sans" w:cs="Open Sans"/>
        </w:rPr>
        <w:t xml:space="preserve">Dear </w:t>
      </w:r>
      <w:r w:rsidR="004A3678" w:rsidRPr="003A41DF">
        <w:rPr>
          <w:rFonts w:ascii="Open Sans" w:hAnsi="Open Sans" w:cs="Open Sans"/>
        </w:rPr>
        <w:t>Office of the National Coordinator for Health IT:</w:t>
      </w:r>
    </w:p>
    <w:p w14:paraId="4B17FAE2" w14:textId="77777777" w:rsidR="004A3678" w:rsidRPr="003A41DF" w:rsidRDefault="004A3678" w:rsidP="004A3678">
      <w:pPr>
        <w:pStyle w:val="NoSpacing"/>
        <w:rPr>
          <w:rFonts w:ascii="Open Sans" w:hAnsi="Open Sans" w:cs="Open Sans"/>
        </w:rPr>
      </w:pPr>
    </w:p>
    <w:p w14:paraId="7200975A" w14:textId="77777777" w:rsidR="00DA638A" w:rsidRPr="003A41DF" w:rsidRDefault="00D72E6E" w:rsidP="00341BEA">
      <w:pPr>
        <w:spacing w:after="120" w:line="240" w:lineRule="auto"/>
        <w:rPr>
          <w:rFonts w:ascii="Open Sans" w:hAnsi="Open Sans" w:cs="Open Sans"/>
          <w:iCs/>
        </w:rPr>
      </w:pPr>
      <w:r w:rsidRPr="003A41DF">
        <w:rPr>
          <w:rFonts w:ascii="Open Sans" w:hAnsi="Open Sans" w:cs="Open Sans"/>
        </w:rPr>
        <w:t>On behalf of the American Immunization Registry Association (AIRA) we are p</w:t>
      </w:r>
      <w:r w:rsidR="007F1587" w:rsidRPr="003A41DF">
        <w:rPr>
          <w:rFonts w:ascii="Open Sans" w:hAnsi="Open Sans" w:cs="Open Sans"/>
        </w:rPr>
        <w:t xml:space="preserve">leased to submit comments on </w:t>
      </w:r>
      <w:r w:rsidR="008349AA" w:rsidRPr="003A41DF">
        <w:rPr>
          <w:rFonts w:ascii="Open Sans" w:hAnsi="Open Sans" w:cs="Open Sans"/>
        </w:rPr>
        <w:t>ONC’s</w:t>
      </w:r>
      <w:r w:rsidR="008349AA" w:rsidRPr="003A41DF">
        <w:rPr>
          <w:rFonts w:ascii="Open Sans" w:hAnsi="Open Sans" w:cs="Open Sans"/>
          <w:b/>
          <w:i/>
        </w:rPr>
        <w:t xml:space="preserve"> </w:t>
      </w:r>
      <w:r w:rsidR="00000EDF" w:rsidRPr="003A41DF">
        <w:rPr>
          <w:rFonts w:ascii="Open Sans" w:hAnsi="Open Sans" w:cs="Open Sans"/>
          <w:b/>
          <w:i/>
        </w:rPr>
        <w:t xml:space="preserve">Draft Trusted Exchange Framework </w:t>
      </w:r>
      <w:r w:rsidR="00000EDF" w:rsidRPr="003A41DF">
        <w:rPr>
          <w:rFonts w:ascii="Open Sans" w:hAnsi="Open Sans" w:cs="Open Sans"/>
        </w:rPr>
        <w:t>that was developed in response to the 21</w:t>
      </w:r>
      <w:r w:rsidR="00000EDF" w:rsidRPr="003A41DF">
        <w:rPr>
          <w:rFonts w:ascii="Open Sans" w:hAnsi="Open Sans" w:cs="Open Sans"/>
          <w:vertAlign w:val="superscript"/>
        </w:rPr>
        <w:t>st</w:t>
      </w:r>
      <w:r w:rsidR="00000EDF" w:rsidRPr="003A41DF">
        <w:rPr>
          <w:rFonts w:ascii="Open Sans" w:hAnsi="Open Sans" w:cs="Open Sans"/>
        </w:rPr>
        <w:t xml:space="preserve"> Century Cures Act.</w:t>
      </w:r>
      <w:r w:rsidR="00A41306" w:rsidRPr="003A41DF">
        <w:rPr>
          <w:rFonts w:ascii="Open Sans" w:hAnsi="Open Sans" w:cs="Open Sans"/>
        </w:rPr>
        <w:t xml:space="preserve"> These comments </w:t>
      </w:r>
      <w:r w:rsidR="00DA638A" w:rsidRPr="003A41DF">
        <w:rPr>
          <w:rFonts w:ascii="Open Sans" w:hAnsi="Open Sans" w:cs="Open Sans"/>
        </w:rPr>
        <w:t>are a compilation of</w:t>
      </w:r>
      <w:r w:rsidR="00A41306" w:rsidRPr="003A41DF">
        <w:rPr>
          <w:rFonts w:ascii="Open Sans" w:hAnsi="Open Sans" w:cs="Open Sans"/>
        </w:rPr>
        <w:t xml:space="preserve"> the input of our </w:t>
      </w:r>
      <w:r w:rsidRPr="003A41DF">
        <w:rPr>
          <w:rFonts w:ascii="Open Sans" w:hAnsi="Open Sans" w:cs="Open Sans"/>
        </w:rPr>
        <w:t>member</w:t>
      </w:r>
      <w:r w:rsidR="00DA638A" w:rsidRPr="003A41DF">
        <w:rPr>
          <w:rFonts w:ascii="Open Sans" w:hAnsi="Open Sans" w:cs="Open Sans"/>
        </w:rPr>
        <w:t>s which include</w:t>
      </w:r>
      <w:r w:rsidR="00DA638A" w:rsidRPr="003A41DF">
        <w:rPr>
          <w:rFonts w:ascii="Open Sans" w:hAnsi="Open Sans" w:cs="Open Sans"/>
          <w:iCs/>
        </w:rPr>
        <w:t xml:space="preserve"> over 75 organizations representing public health Immunization Information Systems (IIS), IIS </w:t>
      </w:r>
      <w:r w:rsidR="005F3E4B" w:rsidRPr="003A41DF">
        <w:rPr>
          <w:rFonts w:ascii="Open Sans" w:hAnsi="Open Sans" w:cs="Open Sans"/>
          <w:iCs/>
        </w:rPr>
        <w:t>i</w:t>
      </w:r>
      <w:r w:rsidR="00DA638A" w:rsidRPr="003A41DF">
        <w:rPr>
          <w:rFonts w:ascii="Open Sans" w:hAnsi="Open Sans" w:cs="Open Sans"/>
          <w:iCs/>
        </w:rPr>
        <w:t>mplementers and vendors, non-profit organizations and partners.</w:t>
      </w:r>
      <w:r w:rsidR="00ED0AFF" w:rsidRPr="003A41DF">
        <w:rPr>
          <w:rFonts w:ascii="Open Sans" w:hAnsi="Open Sans" w:cs="Open Sans"/>
          <w:iCs/>
        </w:rPr>
        <w:t xml:space="preserve"> I</w:t>
      </w:r>
      <w:r w:rsidR="00341BEA">
        <w:rPr>
          <w:rFonts w:ascii="Open Sans" w:hAnsi="Open Sans" w:cs="Open Sans"/>
          <w:iCs/>
        </w:rPr>
        <w:t xml:space="preserve">mmunization </w:t>
      </w:r>
      <w:r w:rsidR="00ED0AFF" w:rsidRPr="003A41DF">
        <w:rPr>
          <w:rFonts w:ascii="Open Sans" w:hAnsi="Open Sans" w:cs="Open Sans"/>
          <w:iCs/>
        </w:rPr>
        <w:t>I</w:t>
      </w:r>
      <w:r w:rsidR="00341BEA">
        <w:rPr>
          <w:rFonts w:ascii="Open Sans" w:hAnsi="Open Sans" w:cs="Open Sans"/>
          <w:iCs/>
        </w:rPr>
        <w:t xml:space="preserve">nformation </w:t>
      </w:r>
      <w:r w:rsidR="00ED0AFF" w:rsidRPr="003A41DF">
        <w:rPr>
          <w:rFonts w:ascii="Open Sans" w:hAnsi="Open Sans" w:cs="Open Sans"/>
          <w:iCs/>
        </w:rPr>
        <w:t>S</w:t>
      </w:r>
      <w:r w:rsidR="00341BEA">
        <w:rPr>
          <w:rFonts w:ascii="Open Sans" w:hAnsi="Open Sans" w:cs="Open Sans"/>
          <w:iCs/>
        </w:rPr>
        <w:t>ystems</w:t>
      </w:r>
      <w:r w:rsidR="00ED0AFF" w:rsidRPr="003A41DF">
        <w:rPr>
          <w:rFonts w:ascii="Open Sans" w:hAnsi="Open Sans" w:cs="Open Sans"/>
          <w:iCs/>
        </w:rPr>
        <w:t xml:space="preserve"> </w:t>
      </w:r>
      <w:r w:rsidR="00DD7979" w:rsidRPr="003A41DF">
        <w:rPr>
          <w:rFonts w:ascii="Open Sans" w:hAnsi="Open Sans" w:cs="Open Sans"/>
          <w:iCs/>
        </w:rPr>
        <w:t>interface</w:t>
      </w:r>
      <w:r w:rsidR="00ED0AFF" w:rsidRPr="003A41DF">
        <w:rPr>
          <w:rFonts w:ascii="Open Sans" w:hAnsi="Open Sans" w:cs="Open Sans"/>
          <w:iCs/>
        </w:rPr>
        <w:t xml:space="preserve"> with a broad range of stakeholders, including providers, pharmacists, schools</w:t>
      </w:r>
      <w:r w:rsidR="00940DCC">
        <w:rPr>
          <w:rFonts w:ascii="Open Sans" w:hAnsi="Open Sans" w:cs="Open Sans"/>
          <w:iCs/>
        </w:rPr>
        <w:t xml:space="preserve">, </w:t>
      </w:r>
      <w:r w:rsidR="00ED0AFF" w:rsidRPr="003A41DF">
        <w:rPr>
          <w:rFonts w:ascii="Open Sans" w:hAnsi="Open Sans" w:cs="Open Sans"/>
          <w:iCs/>
        </w:rPr>
        <w:t>child care facilities, health plans and payers, among others. At the point of clinical care, an IIS provides consolidated immunization records and forecast</w:t>
      </w:r>
      <w:r w:rsidR="00940DCC">
        <w:rPr>
          <w:rFonts w:ascii="Open Sans" w:hAnsi="Open Sans" w:cs="Open Sans"/>
          <w:iCs/>
        </w:rPr>
        <w:t>s</w:t>
      </w:r>
      <w:r w:rsidR="00ED0AFF" w:rsidRPr="003A41DF">
        <w:rPr>
          <w:rFonts w:ascii="Open Sans" w:hAnsi="Open Sans" w:cs="Open Sans"/>
          <w:iCs/>
        </w:rPr>
        <w:t xml:space="preserve"> to support clinical decisions. At the population level, an IIS provides aggregate data</w:t>
      </w:r>
      <w:r w:rsidR="00DD7979" w:rsidRPr="003A41DF">
        <w:rPr>
          <w:rFonts w:ascii="Open Sans" w:hAnsi="Open Sans" w:cs="Open Sans"/>
          <w:iCs/>
        </w:rPr>
        <w:t xml:space="preserve"> and information</w:t>
      </w:r>
      <w:r w:rsidR="00ED0AFF" w:rsidRPr="003A41DF">
        <w:rPr>
          <w:rFonts w:ascii="Open Sans" w:hAnsi="Open Sans" w:cs="Open Sans"/>
          <w:iCs/>
        </w:rPr>
        <w:t xml:space="preserve"> on vaccinations for surveillance, program operations and public health action.</w:t>
      </w:r>
    </w:p>
    <w:p w14:paraId="1BBB3D13" w14:textId="77777777" w:rsidR="005F3E4B" w:rsidRPr="003A41DF" w:rsidRDefault="00B100EE" w:rsidP="00341BEA">
      <w:pPr>
        <w:spacing w:after="120" w:line="240" w:lineRule="auto"/>
        <w:rPr>
          <w:rFonts w:ascii="Open Sans" w:hAnsi="Open Sans" w:cs="Open Sans"/>
          <w:iCs/>
        </w:rPr>
      </w:pPr>
      <w:r w:rsidRPr="003A41DF">
        <w:rPr>
          <w:rFonts w:ascii="Open Sans" w:hAnsi="Open Sans" w:cs="Open Sans"/>
          <w:iCs/>
        </w:rPr>
        <w:t xml:space="preserve">We appreciate the opportunity to provide comment on this important </w:t>
      </w:r>
      <w:r w:rsidR="00711B9E" w:rsidRPr="003A41DF">
        <w:rPr>
          <w:rFonts w:ascii="Open Sans" w:hAnsi="Open Sans" w:cs="Open Sans"/>
          <w:iCs/>
        </w:rPr>
        <w:t xml:space="preserve">step forward in the </w:t>
      </w:r>
      <w:r w:rsidR="006929CC" w:rsidRPr="003A41DF">
        <w:rPr>
          <w:rFonts w:ascii="Open Sans" w:hAnsi="Open Sans" w:cs="Open Sans"/>
          <w:iCs/>
        </w:rPr>
        <w:t xml:space="preserve">nationwide </w:t>
      </w:r>
      <w:r w:rsidR="00711B9E" w:rsidRPr="003A41DF">
        <w:rPr>
          <w:rFonts w:ascii="Open Sans" w:hAnsi="Open Sans" w:cs="Open Sans"/>
          <w:iCs/>
        </w:rPr>
        <w:t xml:space="preserve">exchange of </w:t>
      </w:r>
      <w:r w:rsidR="006929CC" w:rsidRPr="003A41DF">
        <w:rPr>
          <w:rFonts w:ascii="Open Sans" w:hAnsi="Open Sans" w:cs="Open Sans"/>
          <w:iCs/>
        </w:rPr>
        <w:t xml:space="preserve">health </w:t>
      </w:r>
      <w:r w:rsidR="00711B9E" w:rsidRPr="003A41DF">
        <w:rPr>
          <w:rFonts w:ascii="Open Sans" w:hAnsi="Open Sans" w:cs="Open Sans"/>
          <w:iCs/>
        </w:rPr>
        <w:t xml:space="preserve">data. IIS are present and active in every state and </w:t>
      </w:r>
      <w:r w:rsidR="006B6689" w:rsidRPr="003A41DF">
        <w:rPr>
          <w:rFonts w:ascii="Open Sans" w:hAnsi="Open Sans" w:cs="Open Sans"/>
          <w:iCs/>
        </w:rPr>
        <w:t>several</w:t>
      </w:r>
      <w:r w:rsidR="00ED0AFF" w:rsidRPr="003A41DF">
        <w:rPr>
          <w:rFonts w:ascii="Open Sans" w:hAnsi="Open Sans" w:cs="Open Sans"/>
          <w:iCs/>
        </w:rPr>
        <w:t xml:space="preserve"> territories and</w:t>
      </w:r>
      <w:r w:rsidR="00711B9E" w:rsidRPr="003A41DF">
        <w:rPr>
          <w:rFonts w:ascii="Open Sans" w:hAnsi="Open Sans" w:cs="Open Sans"/>
          <w:iCs/>
        </w:rPr>
        <w:t xml:space="preserve"> municipalities throughout the country. As a community of IIS</w:t>
      </w:r>
      <w:r w:rsidR="009D25B9" w:rsidRPr="003A41DF">
        <w:rPr>
          <w:rFonts w:ascii="Open Sans" w:hAnsi="Open Sans" w:cs="Open Sans"/>
          <w:iCs/>
        </w:rPr>
        <w:t xml:space="preserve"> programs and partners</w:t>
      </w:r>
      <w:r w:rsidR="00711B9E" w:rsidRPr="003A41DF">
        <w:rPr>
          <w:rFonts w:ascii="Open Sans" w:hAnsi="Open Sans" w:cs="Open Sans"/>
          <w:iCs/>
        </w:rPr>
        <w:t xml:space="preserve">, data exchange, </w:t>
      </w:r>
      <w:r w:rsidR="00ED0AFF" w:rsidRPr="003A41DF">
        <w:rPr>
          <w:rFonts w:ascii="Open Sans" w:hAnsi="Open Sans" w:cs="Open Sans"/>
          <w:iCs/>
        </w:rPr>
        <w:t xml:space="preserve">data </w:t>
      </w:r>
      <w:r w:rsidR="00711B9E" w:rsidRPr="003A41DF">
        <w:rPr>
          <w:rFonts w:ascii="Open Sans" w:hAnsi="Open Sans" w:cs="Open Sans"/>
          <w:iCs/>
        </w:rPr>
        <w:t xml:space="preserve">consolidation and </w:t>
      </w:r>
      <w:r w:rsidR="00ED0AFF" w:rsidRPr="003A41DF">
        <w:rPr>
          <w:rFonts w:ascii="Open Sans" w:hAnsi="Open Sans" w:cs="Open Sans"/>
          <w:iCs/>
        </w:rPr>
        <w:t xml:space="preserve">data </w:t>
      </w:r>
      <w:r w:rsidR="00711B9E" w:rsidRPr="003A41DF">
        <w:rPr>
          <w:rFonts w:ascii="Open Sans" w:hAnsi="Open Sans" w:cs="Open Sans"/>
          <w:iCs/>
        </w:rPr>
        <w:t xml:space="preserve">use are foundational to our purpose. </w:t>
      </w:r>
    </w:p>
    <w:p w14:paraId="7922D299" w14:textId="77777777" w:rsidR="00711B9E" w:rsidRPr="003A41DF" w:rsidRDefault="00711B9E" w:rsidP="00341BEA">
      <w:pPr>
        <w:spacing w:after="120" w:line="240" w:lineRule="auto"/>
        <w:rPr>
          <w:rFonts w:ascii="Open Sans" w:hAnsi="Open Sans" w:cs="Open Sans"/>
          <w:iCs/>
        </w:rPr>
      </w:pPr>
      <w:r w:rsidRPr="003A41DF">
        <w:rPr>
          <w:rFonts w:ascii="Open Sans" w:hAnsi="Open Sans" w:cs="Open Sans"/>
          <w:iCs/>
        </w:rPr>
        <w:t xml:space="preserve">Standards have long been recognized and adopted across the IIS community. </w:t>
      </w:r>
      <w:r w:rsidR="005F3E4B" w:rsidRPr="003A41DF">
        <w:rPr>
          <w:rFonts w:ascii="Open Sans" w:hAnsi="Open Sans" w:cs="Open Sans"/>
          <w:iCs/>
        </w:rPr>
        <w:t xml:space="preserve">In 2016, 91% of IIS jurisdictions used HL7 (Health Level Seven) </w:t>
      </w:r>
      <w:r w:rsidR="00C77AB7" w:rsidRPr="003A41DF">
        <w:rPr>
          <w:rFonts w:ascii="Open Sans" w:hAnsi="Open Sans" w:cs="Open Sans"/>
          <w:iCs/>
        </w:rPr>
        <w:t xml:space="preserve">version </w:t>
      </w:r>
      <w:r w:rsidR="005F3E4B" w:rsidRPr="003A41DF">
        <w:rPr>
          <w:rFonts w:ascii="Open Sans" w:hAnsi="Open Sans" w:cs="Open Sans"/>
          <w:iCs/>
        </w:rPr>
        <w:t>2.5.1</w:t>
      </w:r>
      <w:r w:rsidR="00C77AB7" w:rsidRPr="003A41DF">
        <w:rPr>
          <w:rFonts w:ascii="Open Sans" w:hAnsi="Open Sans" w:cs="Open Sans"/>
          <w:iCs/>
        </w:rPr>
        <w:t xml:space="preserve"> messaging</w:t>
      </w:r>
      <w:r w:rsidR="005F3E4B" w:rsidRPr="003A41DF">
        <w:rPr>
          <w:rFonts w:ascii="Open Sans" w:hAnsi="Open Sans" w:cs="Open Sans"/>
          <w:iCs/>
        </w:rPr>
        <w:t xml:space="preserve"> to receive vaccination histories from providers and return acknowledgement messages, while 67% of jurisdictions had an IIS that received and responded to queries from providers for immunization histories and forecasts, according to the CDC IIS Annual Report</w:t>
      </w:r>
      <w:r w:rsidR="00B431A1" w:rsidRPr="003A41DF">
        <w:rPr>
          <w:rFonts w:ascii="Open Sans" w:hAnsi="Open Sans" w:cs="Open Sans"/>
          <w:iCs/>
        </w:rPr>
        <w:t>.</w:t>
      </w:r>
      <w:r w:rsidR="005F3E4B" w:rsidRPr="003A41DF">
        <w:rPr>
          <w:rStyle w:val="FootnoteReference"/>
          <w:rFonts w:ascii="Open Sans" w:hAnsi="Open Sans" w:cs="Open Sans"/>
          <w:iCs/>
        </w:rPr>
        <w:footnoteReference w:id="1"/>
      </w:r>
      <w:r w:rsidR="00B431A1" w:rsidRPr="003A41DF">
        <w:rPr>
          <w:rFonts w:ascii="Open Sans" w:hAnsi="Open Sans" w:cs="Open Sans"/>
          <w:iCs/>
        </w:rPr>
        <w:t xml:space="preserve"> </w:t>
      </w:r>
      <w:r w:rsidR="000F7326" w:rsidRPr="003A41DF">
        <w:rPr>
          <w:rFonts w:ascii="Open Sans" w:hAnsi="Open Sans" w:cs="Open Sans"/>
          <w:iCs/>
        </w:rPr>
        <w:t xml:space="preserve">This same report noted that 78% of jurisdictions had an IIS that could transmit immunization data using Simple Object Access Protocol (SOAP), the CDC-endorsed transport standard for the exchange of immunization information. This community-wide alignment with standards is being supported and validated through </w:t>
      </w:r>
      <w:hyperlink r:id="rId8" w:history="1">
        <w:r w:rsidR="000F7326" w:rsidRPr="003A41DF">
          <w:rPr>
            <w:rStyle w:val="Hyperlink"/>
            <w:rFonts w:ascii="Open Sans" w:hAnsi="Open Sans" w:cs="Open Sans"/>
            <w:iCs/>
            <w:color w:val="002060"/>
          </w:rPr>
          <w:t>AIRA’s Measurement and Improvement initiative</w:t>
        </w:r>
      </w:hyperlink>
      <w:r w:rsidR="000F7326" w:rsidRPr="003A41DF">
        <w:rPr>
          <w:rFonts w:ascii="Open Sans" w:hAnsi="Open Sans" w:cs="Open Sans"/>
          <w:iCs/>
        </w:rPr>
        <w:t xml:space="preserve"> as </w:t>
      </w:r>
      <w:r w:rsidR="000F7326" w:rsidRPr="003A41DF">
        <w:rPr>
          <w:rFonts w:ascii="Open Sans" w:hAnsi="Open Sans" w:cs="Open Sans"/>
          <w:iCs/>
        </w:rPr>
        <w:lastRenderedPageBreak/>
        <w:t>well</w:t>
      </w:r>
      <w:r w:rsidR="00B431A1" w:rsidRPr="003A41DF">
        <w:rPr>
          <w:rFonts w:ascii="Open Sans" w:hAnsi="Open Sans" w:cs="Open Sans"/>
          <w:iCs/>
        </w:rPr>
        <w:t>.</w:t>
      </w:r>
      <w:r w:rsidR="000F7326" w:rsidRPr="003A41DF">
        <w:rPr>
          <w:rStyle w:val="FootnoteReference"/>
          <w:rFonts w:ascii="Open Sans" w:hAnsi="Open Sans" w:cs="Open Sans"/>
          <w:iCs/>
        </w:rPr>
        <w:footnoteReference w:id="2"/>
      </w:r>
      <w:r w:rsidR="000F7326" w:rsidRPr="003A41DF">
        <w:rPr>
          <w:rFonts w:ascii="Open Sans" w:hAnsi="Open Sans" w:cs="Open Sans"/>
          <w:iCs/>
        </w:rPr>
        <w:t xml:space="preserve"> </w:t>
      </w:r>
      <w:r w:rsidR="00E81E1B" w:rsidRPr="003A41DF">
        <w:rPr>
          <w:rFonts w:ascii="Open Sans" w:hAnsi="Open Sans" w:cs="Open Sans"/>
          <w:iCs/>
        </w:rPr>
        <w:t>Meaningful use and the adoption of Certified Electronic Health Record Technology (CEHRT) by the EHR</w:t>
      </w:r>
      <w:r w:rsidR="00052DAD">
        <w:rPr>
          <w:rFonts w:ascii="Open Sans" w:hAnsi="Open Sans" w:cs="Open Sans"/>
          <w:iCs/>
        </w:rPr>
        <w:t xml:space="preserve"> (Electronic Health Record)</w:t>
      </w:r>
      <w:r w:rsidR="00E81E1B" w:rsidRPr="003A41DF">
        <w:rPr>
          <w:rFonts w:ascii="Open Sans" w:hAnsi="Open Sans" w:cs="Open Sans"/>
          <w:iCs/>
        </w:rPr>
        <w:t xml:space="preserve"> community have helped to accelerate</w:t>
      </w:r>
      <w:r w:rsidR="00B431A1" w:rsidRPr="003A41DF">
        <w:rPr>
          <w:rFonts w:ascii="Open Sans" w:hAnsi="Open Sans" w:cs="Open Sans"/>
          <w:iCs/>
        </w:rPr>
        <w:t xml:space="preserve"> the pace of</w:t>
      </w:r>
      <w:r w:rsidR="00E81E1B" w:rsidRPr="003A41DF">
        <w:rPr>
          <w:rFonts w:ascii="Open Sans" w:hAnsi="Open Sans" w:cs="Open Sans"/>
          <w:iCs/>
        </w:rPr>
        <w:t xml:space="preserve"> interoperability across IIS and EHRs. </w:t>
      </w:r>
    </w:p>
    <w:p w14:paraId="47F62979" w14:textId="77777777" w:rsidR="00D72E6E" w:rsidRDefault="00D72E6E" w:rsidP="00341BEA">
      <w:pPr>
        <w:spacing w:after="120" w:line="240" w:lineRule="auto"/>
        <w:rPr>
          <w:rFonts w:ascii="Open Sans" w:hAnsi="Open Sans" w:cs="Open Sans"/>
        </w:rPr>
      </w:pPr>
      <w:r w:rsidRPr="003A41DF">
        <w:rPr>
          <w:rFonts w:ascii="Open Sans" w:hAnsi="Open Sans" w:cs="Open Sans"/>
        </w:rPr>
        <w:t xml:space="preserve">AIRA’s </w:t>
      </w:r>
      <w:r w:rsidR="00B100EE" w:rsidRPr="003A41DF">
        <w:rPr>
          <w:rFonts w:ascii="Open Sans" w:hAnsi="Open Sans" w:cs="Open Sans"/>
        </w:rPr>
        <w:t xml:space="preserve">general comments </w:t>
      </w:r>
      <w:r w:rsidR="00B431A1" w:rsidRPr="003A41DF">
        <w:rPr>
          <w:rFonts w:ascii="Open Sans" w:hAnsi="Open Sans" w:cs="Open Sans"/>
        </w:rPr>
        <w:t xml:space="preserve">on the Draft Trusted Exchange Framework and the Draft US Core Data for Interoperability (USCDI) </w:t>
      </w:r>
      <w:r w:rsidR="00B100EE" w:rsidRPr="003A41DF">
        <w:rPr>
          <w:rFonts w:ascii="Open Sans" w:hAnsi="Open Sans" w:cs="Open Sans"/>
        </w:rPr>
        <w:t xml:space="preserve">are presented below, and more detailed </w:t>
      </w:r>
      <w:r w:rsidRPr="003A41DF">
        <w:rPr>
          <w:rFonts w:ascii="Open Sans" w:hAnsi="Open Sans" w:cs="Open Sans"/>
        </w:rPr>
        <w:t>comments are p</w:t>
      </w:r>
      <w:r w:rsidR="0045568C" w:rsidRPr="003A41DF">
        <w:rPr>
          <w:rFonts w:ascii="Open Sans" w:hAnsi="Open Sans" w:cs="Open Sans"/>
        </w:rPr>
        <w:t>resented on the following page</w:t>
      </w:r>
      <w:r w:rsidR="00000EDF" w:rsidRPr="003A41DF">
        <w:rPr>
          <w:rFonts w:ascii="Open Sans" w:hAnsi="Open Sans" w:cs="Open Sans"/>
        </w:rPr>
        <w:t>s</w:t>
      </w:r>
      <w:r w:rsidR="00773317" w:rsidRPr="003A41DF">
        <w:rPr>
          <w:rFonts w:ascii="Open Sans" w:hAnsi="Open Sans" w:cs="Open Sans"/>
        </w:rPr>
        <w:t xml:space="preserve">, </w:t>
      </w:r>
      <w:r w:rsidR="0045568C" w:rsidRPr="003A41DF">
        <w:rPr>
          <w:rFonts w:ascii="Open Sans" w:hAnsi="Open Sans" w:cs="Open Sans"/>
        </w:rPr>
        <w:t>called out</w:t>
      </w:r>
      <w:r w:rsidR="00773317" w:rsidRPr="003A41DF">
        <w:rPr>
          <w:rFonts w:ascii="Open Sans" w:hAnsi="Open Sans" w:cs="Open Sans"/>
        </w:rPr>
        <w:t xml:space="preserve"> by page number and section </w:t>
      </w:r>
      <w:r w:rsidR="007D4F55" w:rsidRPr="003A41DF">
        <w:rPr>
          <w:rFonts w:ascii="Open Sans" w:hAnsi="Open Sans" w:cs="Open Sans"/>
        </w:rPr>
        <w:t>where appropriate</w:t>
      </w:r>
      <w:r w:rsidRPr="003A41DF">
        <w:rPr>
          <w:rFonts w:ascii="Open Sans" w:hAnsi="Open Sans" w:cs="Open Sans"/>
        </w:rPr>
        <w:t xml:space="preserve">. </w:t>
      </w:r>
    </w:p>
    <w:p w14:paraId="49A1E464" w14:textId="77777777" w:rsidR="00BA5B25" w:rsidRPr="00DA5E3A" w:rsidRDefault="00BA5B25" w:rsidP="00341BEA">
      <w:pPr>
        <w:spacing w:after="120" w:line="240" w:lineRule="auto"/>
        <w:rPr>
          <w:rFonts w:ascii="Open Sans" w:hAnsi="Open Sans" w:cs="Open Sans"/>
          <w:b/>
        </w:rPr>
      </w:pPr>
      <w:r w:rsidRPr="00DA5E3A">
        <w:rPr>
          <w:rFonts w:ascii="Open Sans" w:hAnsi="Open Sans" w:cs="Open Sans"/>
          <w:b/>
        </w:rPr>
        <w:t>Comments in Support:</w:t>
      </w:r>
    </w:p>
    <w:p w14:paraId="62C3BD92" w14:textId="77777777" w:rsidR="00E81E1B" w:rsidRPr="003A41DF" w:rsidRDefault="00C7602C" w:rsidP="00341BEA">
      <w:pPr>
        <w:spacing w:after="120" w:line="240" w:lineRule="auto"/>
        <w:rPr>
          <w:rFonts w:ascii="Open Sans" w:hAnsi="Open Sans" w:cs="Open Sans"/>
        </w:rPr>
      </w:pPr>
      <w:r w:rsidRPr="003A41DF">
        <w:rPr>
          <w:rFonts w:ascii="Open Sans" w:hAnsi="Open Sans" w:cs="Open Sans"/>
        </w:rPr>
        <w:t xml:space="preserve">We applaud the vision </w:t>
      </w:r>
      <w:r w:rsidR="00E81E1B" w:rsidRPr="003A41DF">
        <w:rPr>
          <w:rFonts w:ascii="Open Sans" w:hAnsi="Open Sans" w:cs="Open Sans"/>
        </w:rPr>
        <w:t xml:space="preserve">of </w:t>
      </w:r>
      <w:r w:rsidR="00705EE0" w:rsidRPr="003A41DF">
        <w:rPr>
          <w:rFonts w:ascii="Open Sans" w:hAnsi="Open Sans" w:cs="Open Sans"/>
        </w:rPr>
        <w:t xml:space="preserve">an improved </w:t>
      </w:r>
      <w:r w:rsidR="00E81E1B" w:rsidRPr="003A41DF">
        <w:rPr>
          <w:rFonts w:ascii="Open Sans" w:hAnsi="Open Sans" w:cs="Open Sans"/>
        </w:rPr>
        <w:t xml:space="preserve">health </w:t>
      </w:r>
      <w:r w:rsidR="00705EE0" w:rsidRPr="003A41DF">
        <w:rPr>
          <w:rFonts w:ascii="Open Sans" w:hAnsi="Open Sans" w:cs="Open Sans"/>
        </w:rPr>
        <w:t>system</w:t>
      </w:r>
      <w:r w:rsidR="00E81E1B" w:rsidRPr="003A41DF">
        <w:rPr>
          <w:rFonts w:ascii="Open Sans" w:hAnsi="Open Sans" w:cs="Open Sans"/>
        </w:rPr>
        <w:t xml:space="preserve"> </w:t>
      </w:r>
      <w:r w:rsidRPr="003A41DF">
        <w:rPr>
          <w:rFonts w:ascii="Open Sans" w:hAnsi="Open Sans" w:cs="Open Sans"/>
        </w:rPr>
        <w:t xml:space="preserve">articulated </w:t>
      </w:r>
      <w:r w:rsidR="00E81E1B" w:rsidRPr="003A41DF">
        <w:rPr>
          <w:rFonts w:ascii="Open Sans" w:hAnsi="Open Sans" w:cs="Open Sans"/>
        </w:rPr>
        <w:t xml:space="preserve">in the Framework: </w:t>
      </w:r>
    </w:p>
    <w:p w14:paraId="0A4C83CD" w14:textId="77777777" w:rsidR="00E81E1B" w:rsidRPr="003A41DF" w:rsidRDefault="00E81E1B" w:rsidP="00DE65E7">
      <w:pPr>
        <w:spacing w:after="120" w:line="240" w:lineRule="auto"/>
        <w:rPr>
          <w:rFonts w:ascii="Open Sans" w:hAnsi="Open Sans" w:cs="Open Sans"/>
          <w:b/>
          <w:i/>
        </w:rPr>
      </w:pPr>
      <w:r w:rsidRPr="003A41DF">
        <w:rPr>
          <w:rFonts w:ascii="Open Sans" w:hAnsi="Open Sans" w:cs="Open Sans"/>
          <w:b/>
          <w:i/>
        </w:rPr>
        <w:t>A system where an individual’s health information is not limited to what is stored in electronic health records (EHRs</w:t>
      </w:r>
      <w:proofErr w:type="gramStart"/>
      <w:r w:rsidRPr="003A41DF">
        <w:rPr>
          <w:rFonts w:ascii="Open Sans" w:hAnsi="Open Sans" w:cs="Open Sans"/>
          <w:b/>
          <w:i/>
        </w:rPr>
        <w:t>), but</w:t>
      </w:r>
      <w:proofErr w:type="gramEnd"/>
      <w:r w:rsidRPr="003A41DF">
        <w:rPr>
          <w:rFonts w:ascii="Open Sans" w:hAnsi="Open Sans" w:cs="Open Sans"/>
          <w:b/>
          <w:i/>
        </w:rPr>
        <w:t xml:space="preserve"> includes information from many different sources (including technologies that individuals use every day) and provides a longitudinal picture of their health.</w:t>
      </w:r>
    </w:p>
    <w:p w14:paraId="34690951" w14:textId="77777777" w:rsidR="00E81E1B" w:rsidRPr="00D55BB9" w:rsidRDefault="00E81E1B" w:rsidP="00341BEA">
      <w:pPr>
        <w:spacing w:after="120" w:line="240" w:lineRule="auto"/>
        <w:rPr>
          <w:rFonts w:ascii="Open Sans" w:hAnsi="Open Sans" w:cs="Open Sans"/>
        </w:rPr>
      </w:pPr>
      <w:r w:rsidRPr="003A41DF">
        <w:rPr>
          <w:rFonts w:ascii="Open Sans" w:hAnsi="Open Sans" w:cs="Open Sans"/>
        </w:rPr>
        <w:t>It is relevant to note that most IIS provide that longitudinal view today, consolidating immunizations for individuals across their lifespan. This complete</w:t>
      </w:r>
      <w:r w:rsidR="00DA5E3A">
        <w:rPr>
          <w:rFonts w:ascii="Open Sans" w:hAnsi="Open Sans" w:cs="Open Sans"/>
        </w:rPr>
        <w:t xml:space="preserve"> birth-to-death</w:t>
      </w:r>
      <w:r w:rsidRPr="003A41DF">
        <w:rPr>
          <w:rFonts w:ascii="Open Sans" w:hAnsi="Open Sans" w:cs="Open Sans"/>
        </w:rPr>
        <w:t xml:space="preserve"> record fuels accurate clinical decision </w:t>
      </w:r>
      <w:r w:rsidRPr="00D55BB9">
        <w:rPr>
          <w:rFonts w:ascii="Open Sans" w:hAnsi="Open Sans" w:cs="Open Sans"/>
        </w:rPr>
        <w:t>support at the point of care, as well as aggregate analysis for population health.</w:t>
      </w:r>
    </w:p>
    <w:p w14:paraId="3C974AF5" w14:textId="77777777" w:rsidR="000D669F" w:rsidRPr="00D55BB9" w:rsidRDefault="000D669F" w:rsidP="00341BEA">
      <w:pPr>
        <w:spacing w:after="120" w:line="240" w:lineRule="auto"/>
        <w:rPr>
          <w:rFonts w:ascii="Open Sans" w:hAnsi="Open Sans" w:cs="Open Sans"/>
        </w:rPr>
      </w:pPr>
      <w:r w:rsidRPr="00D55BB9">
        <w:rPr>
          <w:rFonts w:ascii="Open Sans" w:hAnsi="Open Sans" w:cs="Open Sans"/>
        </w:rPr>
        <w:t>The first goal articulated for TEFCA, to build on and extend existing work throughout the industry, is an excellent place to start. Conceptualizing TEFCA as a Framework to augment, not replace, current exchanges is extremely useful.</w:t>
      </w:r>
    </w:p>
    <w:p w14:paraId="13236D60" w14:textId="77777777" w:rsidR="000F7326" w:rsidRPr="00D55BB9" w:rsidRDefault="000F7326" w:rsidP="00341BEA">
      <w:pPr>
        <w:spacing w:after="120" w:line="240" w:lineRule="auto"/>
        <w:rPr>
          <w:rFonts w:ascii="Open Sans" w:hAnsi="Open Sans" w:cs="Open Sans"/>
        </w:rPr>
      </w:pPr>
      <w:r w:rsidRPr="00D55BB9">
        <w:rPr>
          <w:rFonts w:ascii="Open Sans" w:hAnsi="Open Sans" w:cs="Open Sans"/>
        </w:rPr>
        <w:t xml:space="preserve">We are encouraged to see public health called out as a permitted purpose in Part B, Section 1. </w:t>
      </w:r>
      <w:r w:rsidR="00E81E1B" w:rsidRPr="00D55BB9">
        <w:rPr>
          <w:rFonts w:ascii="Open Sans" w:hAnsi="Open Sans" w:cs="Open Sans"/>
        </w:rPr>
        <w:t>Public Health in general, and IIS specifically, provide essential and cost-effective value, both to the general population, in protecting against communicable disease, but</w:t>
      </w:r>
      <w:r w:rsidR="00B431A1" w:rsidRPr="00D55BB9">
        <w:rPr>
          <w:rFonts w:ascii="Open Sans" w:hAnsi="Open Sans" w:cs="Open Sans"/>
        </w:rPr>
        <w:t xml:space="preserve"> also</w:t>
      </w:r>
      <w:r w:rsidR="00E81E1B" w:rsidRPr="00D55BB9">
        <w:rPr>
          <w:rFonts w:ascii="Open Sans" w:hAnsi="Open Sans" w:cs="Open Sans"/>
        </w:rPr>
        <w:t xml:space="preserve"> to individual providers, empowering them with the most accurate and complete immunization information</w:t>
      </w:r>
      <w:r w:rsidR="00100FCD" w:rsidRPr="00D55BB9">
        <w:rPr>
          <w:rFonts w:ascii="Open Sans" w:hAnsi="Open Sans" w:cs="Open Sans"/>
        </w:rPr>
        <w:t xml:space="preserve"> available. </w:t>
      </w:r>
      <w:r w:rsidR="00AD1C08" w:rsidRPr="00966E1A">
        <w:rPr>
          <w:rFonts w:ascii="Open Sans" w:hAnsi="Open Sans" w:cs="Open Sans"/>
        </w:rPr>
        <w:t xml:space="preserve">We </w:t>
      </w:r>
      <w:r w:rsidR="00966E1A">
        <w:rPr>
          <w:rFonts w:ascii="Open Sans" w:hAnsi="Open Sans" w:cs="Open Sans"/>
        </w:rPr>
        <w:t xml:space="preserve">also </w:t>
      </w:r>
      <w:r w:rsidR="00AD1C08" w:rsidRPr="00966E1A">
        <w:rPr>
          <w:rFonts w:ascii="Open Sans" w:hAnsi="Open Sans" w:cs="Open Sans"/>
        </w:rPr>
        <w:t>applaud the prohibition on QHINs charging money for responding to queries/pulls for Public Health</w:t>
      </w:r>
      <w:r w:rsidR="00341BEA">
        <w:rPr>
          <w:rFonts w:ascii="Open Sans" w:hAnsi="Open Sans" w:cs="Open Sans"/>
        </w:rPr>
        <w:t>.</w:t>
      </w:r>
    </w:p>
    <w:p w14:paraId="5127C395" w14:textId="77777777" w:rsidR="003A41DF" w:rsidRPr="00D55BB9" w:rsidRDefault="003A41DF" w:rsidP="00341BEA">
      <w:pPr>
        <w:spacing w:after="120" w:line="240" w:lineRule="auto"/>
        <w:rPr>
          <w:rFonts w:ascii="Open Sans" w:hAnsi="Open Sans" w:cs="Open Sans"/>
        </w:rPr>
      </w:pPr>
      <w:r w:rsidRPr="00D55BB9">
        <w:rPr>
          <w:rFonts w:ascii="Open Sans" w:hAnsi="Open Sans" w:cs="Open Sans"/>
        </w:rPr>
        <w:t xml:space="preserve">The introduction of a single “on-ramp” </w:t>
      </w:r>
      <w:r w:rsidR="004C7E37" w:rsidRPr="00D55BB9">
        <w:rPr>
          <w:rFonts w:ascii="Open Sans" w:hAnsi="Open Sans" w:cs="Open Sans"/>
        </w:rPr>
        <w:t xml:space="preserve">that connects one network to multiple networks </w:t>
      </w:r>
      <w:r w:rsidRPr="00D55BB9">
        <w:rPr>
          <w:rFonts w:ascii="Open Sans" w:hAnsi="Open Sans" w:cs="Open Sans"/>
        </w:rPr>
        <w:t>could bring significant efficiencies to Public Health, through</w:t>
      </w:r>
      <w:r w:rsidR="004C7E37" w:rsidRPr="00D55BB9">
        <w:rPr>
          <w:rFonts w:ascii="Open Sans" w:hAnsi="Open Sans" w:cs="Open Sans"/>
        </w:rPr>
        <w:t xml:space="preserve"> e</w:t>
      </w:r>
      <w:r w:rsidRPr="00D55BB9">
        <w:rPr>
          <w:rFonts w:ascii="Open Sans" w:hAnsi="Open Sans" w:cs="Open Sans"/>
        </w:rPr>
        <w:t>liminating the costs of connecting to multiple networks,</w:t>
      </w:r>
      <w:r w:rsidR="004C7E37" w:rsidRPr="00D55BB9">
        <w:rPr>
          <w:rFonts w:ascii="Open Sans" w:hAnsi="Open Sans" w:cs="Open Sans"/>
        </w:rPr>
        <w:t xml:space="preserve"> e</w:t>
      </w:r>
      <w:r w:rsidRPr="00D55BB9">
        <w:rPr>
          <w:rFonts w:ascii="Open Sans" w:hAnsi="Open Sans" w:cs="Open Sans"/>
        </w:rPr>
        <w:t>liminating costly point-to-point agreements,</w:t>
      </w:r>
      <w:r w:rsidR="004C7E37" w:rsidRPr="00D55BB9">
        <w:rPr>
          <w:rFonts w:ascii="Open Sans" w:hAnsi="Open Sans" w:cs="Open Sans"/>
        </w:rPr>
        <w:t xml:space="preserve"> r</w:t>
      </w:r>
      <w:r w:rsidRPr="00D55BB9">
        <w:rPr>
          <w:rFonts w:ascii="Open Sans" w:hAnsi="Open Sans" w:cs="Open Sans"/>
        </w:rPr>
        <w:t>educing individual system interfaces, and</w:t>
      </w:r>
      <w:r w:rsidR="004C7E37" w:rsidRPr="00D55BB9">
        <w:rPr>
          <w:rFonts w:ascii="Open Sans" w:hAnsi="Open Sans" w:cs="Open Sans"/>
        </w:rPr>
        <w:t xml:space="preserve"> a</w:t>
      </w:r>
      <w:r w:rsidRPr="00D55BB9">
        <w:rPr>
          <w:rFonts w:ascii="Open Sans" w:hAnsi="Open Sans" w:cs="Open Sans"/>
        </w:rPr>
        <w:t>llowing the use of provider identity-proofing and authentication provided by others.</w:t>
      </w:r>
    </w:p>
    <w:p w14:paraId="7D86FE72" w14:textId="77777777" w:rsidR="007D4F55" w:rsidRPr="003A41DF" w:rsidRDefault="007D4F55" w:rsidP="00341BEA">
      <w:pPr>
        <w:spacing w:after="120" w:line="240" w:lineRule="auto"/>
        <w:rPr>
          <w:rFonts w:ascii="Open Sans" w:hAnsi="Open Sans" w:cs="Open Sans"/>
        </w:rPr>
      </w:pPr>
      <w:r w:rsidRPr="00D55BB9">
        <w:rPr>
          <w:rFonts w:ascii="Open Sans" w:hAnsi="Open Sans" w:cs="Open Sans"/>
        </w:rPr>
        <w:t xml:space="preserve">Across the immunizing community, we can envision this Framework supporting </w:t>
      </w:r>
      <w:proofErr w:type="gramStart"/>
      <w:r w:rsidRPr="00D55BB9">
        <w:rPr>
          <w:rFonts w:ascii="Open Sans" w:hAnsi="Open Sans" w:cs="Open Sans"/>
        </w:rPr>
        <w:t>a number of</w:t>
      </w:r>
      <w:proofErr w:type="gramEnd"/>
      <w:r w:rsidRPr="00D55BB9">
        <w:rPr>
          <w:rFonts w:ascii="Open Sans" w:hAnsi="Open Sans" w:cs="Open Sans"/>
        </w:rPr>
        <w:t xml:space="preserve"> use cases, including facilitating interjurisdictional exchange of data, speeding query response of consolidated records and forecasts, and improving data completeness and accuracy through broadcast and directed queries. </w:t>
      </w:r>
      <w:r w:rsidR="00825CC0" w:rsidRPr="00D55BB9">
        <w:rPr>
          <w:rFonts w:ascii="Open Sans" w:hAnsi="Open Sans" w:cs="Open Sans"/>
        </w:rPr>
        <w:t>It is also</w:t>
      </w:r>
      <w:r w:rsidR="00825CC0">
        <w:rPr>
          <w:rFonts w:ascii="Open Sans" w:hAnsi="Open Sans" w:cs="Open Sans"/>
        </w:rPr>
        <w:t xml:space="preserve"> encouraging that federal </w:t>
      </w:r>
      <w:r w:rsidR="00825CC0">
        <w:rPr>
          <w:rFonts w:ascii="Open Sans" w:hAnsi="Open Sans" w:cs="Open Sans"/>
        </w:rPr>
        <w:lastRenderedPageBreak/>
        <w:t xml:space="preserve">agencies could potentially require </w:t>
      </w:r>
      <w:r w:rsidR="00CE3EA3">
        <w:rPr>
          <w:rFonts w:ascii="Open Sans" w:hAnsi="Open Sans" w:cs="Open Sans"/>
        </w:rPr>
        <w:t xml:space="preserve">use of TEFCA as a method to advance implementation within and beyond Public Health. </w:t>
      </w:r>
    </w:p>
    <w:p w14:paraId="3EDC5B04" w14:textId="77777777" w:rsidR="00705EE0" w:rsidRDefault="00705EE0" w:rsidP="00341BEA">
      <w:pPr>
        <w:spacing w:after="120" w:line="240" w:lineRule="auto"/>
        <w:rPr>
          <w:rFonts w:ascii="Open Sans" w:hAnsi="Open Sans" w:cs="Open Sans"/>
        </w:rPr>
      </w:pPr>
      <w:r w:rsidRPr="003A41DF">
        <w:rPr>
          <w:rFonts w:ascii="Open Sans" w:hAnsi="Open Sans" w:cs="Open Sans"/>
        </w:rPr>
        <w:t xml:space="preserve">The principles articulated in Part A of the Framework of Standardization, Transparency, Cooperation and Non-Discrimination, Privacy, Security and Safety, Access, and Data-driven Accountability are all very much in line with the values of Public Health. </w:t>
      </w:r>
    </w:p>
    <w:p w14:paraId="269C8F2F" w14:textId="77777777" w:rsidR="00DA5E3A" w:rsidRPr="00DA5E3A" w:rsidRDefault="00DA5E3A" w:rsidP="00341BEA">
      <w:pPr>
        <w:spacing w:after="120" w:line="240" w:lineRule="auto"/>
        <w:rPr>
          <w:rFonts w:ascii="Open Sans" w:hAnsi="Open Sans" w:cs="Open Sans"/>
          <w:b/>
        </w:rPr>
      </w:pPr>
      <w:r w:rsidRPr="00DA5E3A">
        <w:rPr>
          <w:rFonts w:ascii="Open Sans" w:hAnsi="Open Sans" w:cs="Open Sans"/>
          <w:b/>
        </w:rPr>
        <w:t>Comments of Concern</w:t>
      </w:r>
      <w:r w:rsidR="00AD1C08">
        <w:rPr>
          <w:rFonts w:ascii="Open Sans" w:hAnsi="Open Sans" w:cs="Open Sans"/>
          <w:b/>
        </w:rPr>
        <w:t>/Recommendations</w:t>
      </w:r>
    </w:p>
    <w:p w14:paraId="5F2DB2AC" w14:textId="77777777" w:rsidR="006B6689" w:rsidRPr="00AB76A7" w:rsidRDefault="007D4F55" w:rsidP="00341BEA">
      <w:pPr>
        <w:spacing w:after="120" w:line="240" w:lineRule="auto"/>
        <w:rPr>
          <w:rFonts w:ascii="Open Sans" w:hAnsi="Open Sans" w:cs="Open Sans"/>
        </w:rPr>
      </w:pPr>
      <w:r w:rsidRPr="003A41DF">
        <w:rPr>
          <w:rFonts w:ascii="Open Sans" w:hAnsi="Open Sans" w:cs="Open Sans"/>
        </w:rPr>
        <w:t>However, i</w:t>
      </w:r>
      <w:r w:rsidR="006B6689" w:rsidRPr="003A41DF">
        <w:rPr>
          <w:rFonts w:ascii="Open Sans" w:hAnsi="Open Sans" w:cs="Open Sans"/>
        </w:rPr>
        <w:t xml:space="preserve">t is important to note that very few public health data exchange transactions are supported </w:t>
      </w:r>
      <w:r w:rsidR="00140151" w:rsidRPr="003A41DF">
        <w:rPr>
          <w:rFonts w:ascii="Open Sans" w:hAnsi="Open Sans" w:cs="Open Sans"/>
        </w:rPr>
        <w:t>by</w:t>
      </w:r>
      <w:r w:rsidR="006B6689" w:rsidRPr="003A41DF">
        <w:rPr>
          <w:rFonts w:ascii="Open Sans" w:hAnsi="Open Sans" w:cs="Open Sans"/>
        </w:rPr>
        <w:t xml:space="preserve"> the architecture described in these documents. Most immunization reporting is done via unsolicited </w:t>
      </w:r>
      <w:r w:rsidR="009840AB" w:rsidRPr="003A41DF">
        <w:rPr>
          <w:rFonts w:ascii="Open Sans" w:hAnsi="Open Sans" w:cs="Open Sans"/>
        </w:rPr>
        <w:t xml:space="preserve">(or “push”) </w:t>
      </w:r>
      <w:r w:rsidR="006B6689" w:rsidRPr="003A41DF">
        <w:rPr>
          <w:rFonts w:ascii="Open Sans" w:hAnsi="Open Sans" w:cs="Open Sans"/>
        </w:rPr>
        <w:t xml:space="preserve">HL7 v2 messages. </w:t>
      </w:r>
      <w:r w:rsidR="00CE3EA3">
        <w:rPr>
          <w:rFonts w:ascii="Open Sans" w:hAnsi="Open Sans" w:cs="Open Sans"/>
        </w:rPr>
        <w:t>HL7 v2 is called out in ONC and CMS regulations as a required messaging standard for EHR Certification for immunization messaging. Submission and q</w:t>
      </w:r>
      <w:r w:rsidR="006B6689" w:rsidRPr="003A41DF">
        <w:rPr>
          <w:rFonts w:ascii="Open Sans" w:hAnsi="Open Sans" w:cs="Open Sans"/>
        </w:rPr>
        <w:t>ueries to public health registries are usually executed with a known end-point (</w:t>
      </w:r>
      <w:r w:rsidR="006B6689" w:rsidRPr="003A41DF">
        <w:rPr>
          <w:rFonts w:ascii="Open Sans" w:hAnsi="Open Sans" w:cs="Open Sans"/>
          <w:i/>
        </w:rPr>
        <w:t>i.e.,</w:t>
      </w:r>
      <w:r w:rsidR="006B6689" w:rsidRPr="003A41DF">
        <w:rPr>
          <w:rFonts w:ascii="Open Sans" w:hAnsi="Open Sans" w:cs="Open Sans"/>
        </w:rPr>
        <w:t xml:space="preserve"> the registry in the clinician’s jurisdiction)</w:t>
      </w:r>
      <w:r w:rsidR="00CE3EA3">
        <w:rPr>
          <w:rFonts w:ascii="Open Sans" w:hAnsi="Open Sans" w:cs="Open Sans"/>
        </w:rPr>
        <w:t xml:space="preserve"> using HL7 v2 messaging</w:t>
      </w:r>
      <w:r w:rsidRPr="003A41DF">
        <w:rPr>
          <w:rFonts w:ascii="Open Sans" w:hAnsi="Open Sans" w:cs="Open Sans"/>
        </w:rPr>
        <w:t xml:space="preserve">. </w:t>
      </w:r>
      <w:r w:rsidRPr="003A41DF">
        <w:rPr>
          <w:rFonts w:ascii="Open Sans" w:hAnsi="Open Sans" w:cs="Open Sans"/>
          <w:b/>
        </w:rPr>
        <w:t xml:space="preserve">To improve consistent adoption, we would encourage HL7 V2 to be added to the </w:t>
      </w:r>
      <w:r w:rsidRPr="00AB76A7">
        <w:rPr>
          <w:rFonts w:ascii="Open Sans" w:hAnsi="Open Sans" w:cs="Open Sans"/>
          <w:b/>
        </w:rPr>
        <w:t>“floor” of the Trusted Exchange Framework.</w:t>
      </w:r>
      <w:r w:rsidRPr="00AB76A7">
        <w:rPr>
          <w:rFonts w:ascii="Open Sans" w:hAnsi="Open Sans" w:cs="Open Sans"/>
        </w:rPr>
        <w:t xml:space="preserve"> </w:t>
      </w:r>
      <w:r w:rsidR="006B6689" w:rsidRPr="00AB76A7">
        <w:rPr>
          <w:rFonts w:ascii="Open Sans" w:hAnsi="Open Sans" w:cs="Open Sans"/>
        </w:rPr>
        <w:t xml:space="preserve"> </w:t>
      </w:r>
    </w:p>
    <w:p w14:paraId="772C5DF4" w14:textId="77777777" w:rsidR="009840AB" w:rsidRDefault="00DA5E3A" w:rsidP="00341BEA">
      <w:pPr>
        <w:spacing w:after="120" w:line="240" w:lineRule="auto"/>
        <w:rPr>
          <w:rFonts w:ascii="Open Sans" w:hAnsi="Open Sans" w:cs="Open Sans"/>
          <w:b/>
        </w:rPr>
      </w:pPr>
      <w:r w:rsidRPr="00AB76A7">
        <w:rPr>
          <w:rFonts w:ascii="Open Sans" w:hAnsi="Open Sans" w:cs="Open Sans"/>
        </w:rPr>
        <w:t xml:space="preserve">To fully populate IIS, </w:t>
      </w:r>
      <w:proofErr w:type="gramStart"/>
      <w:r w:rsidRPr="00AB76A7">
        <w:rPr>
          <w:rFonts w:ascii="Open Sans" w:hAnsi="Open Sans" w:cs="Open Sans"/>
        </w:rPr>
        <w:t>the majority of</w:t>
      </w:r>
      <w:proofErr w:type="gramEnd"/>
      <w:r w:rsidRPr="00AB76A7">
        <w:rPr>
          <w:rFonts w:ascii="Open Sans" w:hAnsi="Open Sans" w:cs="Open Sans"/>
        </w:rPr>
        <w:t xml:space="preserve"> data is “pushed” from provider offices, hospitals, and health systems, occasionally in batch form but increasingly through real-time messaging. </w:t>
      </w:r>
      <w:r w:rsidR="008B06B3" w:rsidRPr="00AB76A7">
        <w:rPr>
          <w:rFonts w:ascii="Open Sans" w:hAnsi="Open Sans" w:cs="Open Sans"/>
        </w:rPr>
        <w:t xml:space="preserve">Although the EHR and IIS community are </w:t>
      </w:r>
      <w:r w:rsidR="00EF6154" w:rsidRPr="00AB76A7">
        <w:rPr>
          <w:rFonts w:ascii="Open Sans" w:hAnsi="Open Sans" w:cs="Open Sans"/>
        </w:rPr>
        <w:t xml:space="preserve">broadly </w:t>
      </w:r>
      <w:r w:rsidR="008B06B3" w:rsidRPr="00AB76A7">
        <w:rPr>
          <w:rFonts w:ascii="Open Sans" w:hAnsi="Open Sans" w:cs="Open Sans"/>
        </w:rPr>
        <w:t>embracing query</w:t>
      </w:r>
      <w:r w:rsidR="00EF6154" w:rsidRPr="00AB76A7">
        <w:rPr>
          <w:rFonts w:ascii="Open Sans" w:hAnsi="Open Sans" w:cs="Open Sans"/>
        </w:rPr>
        <w:t xml:space="preserve"> to pull in the consolidated record and forecast at the point of care, this does not replace the need for data to be pushed to an IIS to ensure the longitudinal immunization record is complete. The current use of “DIRECT” messaging does not meet the real-time needs of the immunization community, nor does it establish any permitted purposes or formal trust network. </w:t>
      </w:r>
      <w:r w:rsidR="009840AB" w:rsidRPr="00AB76A7">
        <w:rPr>
          <w:rFonts w:ascii="Open Sans" w:hAnsi="Open Sans" w:cs="Open Sans"/>
        </w:rPr>
        <w:t>Given that much of immunization data is messaged via “push” or notification messaging,</w:t>
      </w:r>
      <w:r w:rsidR="009840AB" w:rsidRPr="00AB76A7">
        <w:rPr>
          <w:rFonts w:ascii="Open Sans" w:hAnsi="Open Sans" w:cs="Open Sans"/>
          <w:b/>
        </w:rPr>
        <w:t xml:space="preserve"> we would encourage a Use Case for “push” data submission or notifications</w:t>
      </w:r>
      <w:r w:rsidR="00EF6154" w:rsidRPr="00AB76A7">
        <w:rPr>
          <w:rFonts w:ascii="Open Sans" w:hAnsi="Open Sans" w:cs="Open Sans"/>
          <w:b/>
        </w:rPr>
        <w:t>, using HL7 V2 standards,</w:t>
      </w:r>
      <w:r w:rsidR="009840AB" w:rsidRPr="00AB76A7">
        <w:rPr>
          <w:rFonts w:ascii="Open Sans" w:hAnsi="Open Sans" w:cs="Open Sans"/>
          <w:b/>
        </w:rPr>
        <w:t xml:space="preserve"> be added to the Framework. </w:t>
      </w:r>
    </w:p>
    <w:p w14:paraId="7C1D41F0" w14:textId="77777777" w:rsidR="00A00630" w:rsidRPr="00A00630" w:rsidRDefault="00A00630" w:rsidP="00341BEA">
      <w:pPr>
        <w:spacing w:after="120" w:line="240" w:lineRule="auto"/>
        <w:rPr>
          <w:rFonts w:ascii="Open Sans" w:hAnsi="Open Sans" w:cs="Open Sans"/>
        </w:rPr>
      </w:pPr>
      <w:r w:rsidRPr="00A00630">
        <w:rPr>
          <w:rFonts w:ascii="Open Sans" w:hAnsi="Open Sans" w:cs="Open Sans"/>
        </w:rPr>
        <w:t>Although the “single onramp” is a</w:t>
      </w:r>
      <w:r>
        <w:rPr>
          <w:rFonts w:ascii="Open Sans" w:hAnsi="Open Sans" w:cs="Open Sans"/>
        </w:rPr>
        <w:t xml:space="preserve">n efficient and appealing concept, we do have questions about how data quality testing and onboarding would take place for individual IIS. The IIS community has vast experience with testing to ensure the consistency of both format and content of incoming data. This testing process is crucial to ensure data meets standards for acceptance and future data use purposes. </w:t>
      </w:r>
      <w:r w:rsidRPr="00A00630">
        <w:rPr>
          <w:rFonts w:ascii="Open Sans" w:hAnsi="Open Sans" w:cs="Open Sans"/>
          <w:b/>
          <w:color w:val="000000" w:themeColor="text1"/>
        </w:rPr>
        <w:t xml:space="preserve">We ask that </w:t>
      </w:r>
      <w:r>
        <w:rPr>
          <w:rFonts w:ascii="Open Sans" w:hAnsi="Open Sans" w:cs="Open Sans"/>
          <w:b/>
          <w:color w:val="000000" w:themeColor="text1"/>
        </w:rPr>
        <w:t xml:space="preserve">ONC develop </w:t>
      </w:r>
      <w:r w:rsidRPr="00A00630">
        <w:rPr>
          <w:rFonts w:ascii="Open Sans" w:hAnsi="Open Sans" w:cs="Open Sans"/>
          <w:b/>
          <w:color w:val="000000" w:themeColor="text1"/>
        </w:rPr>
        <w:t>a comprehensive process for testing and onboarding across participants in the final Framework to ensure the quality of data exchanged.</w:t>
      </w:r>
    </w:p>
    <w:p w14:paraId="09778E66" w14:textId="09E99526" w:rsidR="00DA5E3A" w:rsidRPr="000D669F" w:rsidRDefault="00DA5E3A" w:rsidP="00341BEA">
      <w:pPr>
        <w:spacing w:after="120" w:line="240" w:lineRule="auto"/>
        <w:rPr>
          <w:rFonts w:ascii="Open Sans" w:hAnsi="Open Sans" w:cs="Open Sans"/>
          <w:b/>
        </w:rPr>
      </w:pPr>
      <w:r w:rsidRPr="00AB76A7">
        <w:rPr>
          <w:rFonts w:ascii="Open Sans" w:hAnsi="Open Sans" w:cs="Open Sans"/>
        </w:rPr>
        <w:t xml:space="preserve">Allowing the use of provider directories, albeit federated, may improve the efficiency of data exchange. However, more should be documented regarding provider directories to ensure that the hierarchies of providers, provider groups, QHINs and others (e.g., </w:t>
      </w:r>
      <w:r w:rsidR="000D669F" w:rsidRPr="00AB76A7">
        <w:rPr>
          <w:rFonts w:ascii="Open Sans" w:hAnsi="Open Sans" w:cs="Open Sans"/>
        </w:rPr>
        <w:t xml:space="preserve">associations between </w:t>
      </w:r>
      <w:r w:rsidRPr="00AB76A7">
        <w:rPr>
          <w:rFonts w:ascii="Open Sans" w:hAnsi="Open Sans" w:cs="Open Sans"/>
        </w:rPr>
        <w:t>providers</w:t>
      </w:r>
      <w:r w:rsidR="000D669F" w:rsidRPr="00AB76A7">
        <w:rPr>
          <w:rFonts w:ascii="Open Sans" w:hAnsi="Open Sans" w:cs="Open Sans"/>
        </w:rPr>
        <w:t xml:space="preserve">, </w:t>
      </w:r>
      <w:r w:rsidRPr="00AB76A7">
        <w:rPr>
          <w:rFonts w:ascii="Open Sans" w:hAnsi="Open Sans" w:cs="Open Sans"/>
        </w:rPr>
        <w:t xml:space="preserve">clinics, health systems, EHR hubs, </w:t>
      </w:r>
      <w:r w:rsidR="000D669F" w:rsidRPr="00AB76A7">
        <w:rPr>
          <w:rFonts w:ascii="Open Sans" w:hAnsi="Open Sans" w:cs="Open Sans"/>
        </w:rPr>
        <w:t>Regional HIEs,</w:t>
      </w:r>
      <w:r w:rsidR="000D669F">
        <w:rPr>
          <w:rFonts w:ascii="Open Sans" w:hAnsi="Open Sans" w:cs="Open Sans"/>
        </w:rPr>
        <w:t xml:space="preserve"> </w:t>
      </w:r>
      <w:r>
        <w:rPr>
          <w:rFonts w:ascii="Open Sans" w:hAnsi="Open Sans" w:cs="Open Sans"/>
        </w:rPr>
        <w:t xml:space="preserve">etc.) are consistently organized to meet public health needs. </w:t>
      </w:r>
      <w:r w:rsidR="000D669F" w:rsidRPr="000D669F">
        <w:rPr>
          <w:rFonts w:ascii="Open Sans" w:hAnsi="Open Sans" w:cs="Open Sans"/>
          <w:b/>
        </w:rPr>
        <w:t>As part of the establishment of provider directories, w</w:t>
      </w:r>
      <w:r w:rsidRPr="000D669F">
        <w:rPr>
          <w:rFonts w:ascii="Open Sans" w:hAnsi="Open Sans" w:cs="Open Sans"/>
          <w:b/>
        </w:rPr>
        <w:t xml:space="preserve">e would encourage a thorough landscape analysis of current data exchange </w:t>
      </w:r>
      <w:r w:rsidR="000D669F" w:rsidRPr="000D669F">
        <w:rPr>
          <w:rFonts w:ascii="Open Sans" w:hAnsi="Open Sans" w:cs="Open Sans"/>
          <w:b/>
        </w:rPr>
        <w:t>needs</w:t>
      </w:r>
      <w:r w:rsidRPr="000D669F">
        <w:rPr>
          <w:rFonts w:ascii="Open Sans" w:hAnsi="Open Sans" w:cs="Open Sans"/>
          <w:b/>
        </w:rPr>
        <w:t xml:space="preserve"> throughout public health </w:t>
      </w:r>
      <w:r w:rsidR="000D669F" w:rsidRPr="000D669F">
        <w:rPr>
          <w:rFonts w:ascii="Open Sans" w:hAnsi="Open Sans" w:cs="Open Sans"/>
          <w:b/>
        </w:rPr>
        <w:t xml:space="preserve">to ensure established levels of exchange are not disrupted. </w:t>
      </w:r>
    </w:p>
    <w:p w14:paraId="4A9E9C6C" w14:textId="77777777" w:rsidR="006B6689" w:rsidRPr="003A41DF" w:rsidRDefault="006B6689" w:rsidP="00341BEA">
      <w:pPr>
        <w:spacing w:after="120" w:line="240" w:lineRule="auto"/>
        <w:rPr>
          <w:rFonts w:ascii="Open Sans" w:hAnsi="Open Sans" w:cs="Open Sans"/>
          <w:b/>
        </w:rPr>
      </w:pPr>
      <w:r w:rsidRPr="003A41DF">
        <w:rPr>
          <w:rFonts w:ascii="Open Sans" w:hAnsi="Open Sans" w:cs="Open Sans"/>
        </w:rPr>
        <w:lastRenderedPageBreak/>
        <w:t xml:space="preserve">The </w:t>
      </w:r>
      <w:r w:rsidR="004F0D00" w:rsidRPr="003A41DF">
        <w:rPr>
          <w:rFonts w:ascii="Open Sans" w:hAnsi="Open Sans" w:cs="Open Sans"/>
        </w:rPr>
        <w:t>Framework</w:t>
      </w:r>
      <w:r w:rsidRPr="003A41DF">
        <w:rPr>
          <w:rFonts w:ascii="Open Sans" w:hAnsi="Open Sans" w:cs="Open Sans"/>
        </w:rPr>
        <w:t xml:space="preserve"> also </w:t>
      </w:r>
      <w:r w:rsidR="00BD6992" w:rsidRPr="003A41DF">
        <w:rPr>
          <w:rFonts w:ascii="Open Sans" w:hAnsi="Open Sans" w:cs="Open Sans"/>
        </w:rPr>
        <w:t>does not address in depth</w:t>
      </w:r>
      <w:r w:rsidRPr="003A41DF">
        <w:rPr>
          <w:rFonts w:ascii="Open Sans" w:hAnsi="Open Sans" w:cs="Open Sans"/>
        </w:rPr>
        <w:t xml:space="preserve"> the challenges of inconsistent state, local and tribal patient consent and data sharing laws that are often an obstacle to cross-jurisdiction interoperability. It is not clear how these consent issues might be overcome with the current framework.</w:t>
      </w:r>
      <w:r w:rsidR="007D4F55" w:rsidRPr="003A41DF">
        <w:rPr>
          <w:rFonts w:ascii="Open Sans" w:hAnsi="Open Sans" w:cs="Open Sans"/>
        </w:rPr>
        <w:t xml:space="preserve"> </w:t>
      </w:r>
      <w:r w:rsidR="007D4F55" w:rsidRPr="003A41DF">
        <w:rPr>
          <w:rFonts w:ascii="Open Sans" w:hAnsi="Open Sans" w:cs="Open Sans"/>
          <w:b/>
        </w:rPr>
        <w:t>We would welcome more clear and detailed explanations of how jurisdiction-specific consent and data sharing laws and rules will be addressed by the Framework to support interoperability.</w:t>
      </w:r>
    </w:p>
    <w:p w14:paraId="41E3AC02" w14:textId="77777777" w:rsidR="00BD6992" w:rsidRPr="003A41DF" w:rsidRDefault="00BD6992" w:rsidP="00341BEA">
      <w:pPr>
        <w:spacing w:after="120" w:line="240" w:lineRule="auto"/>
        <w:rPr>
          <w:rFonts w:ascii="Open Sans" w:hAnsi="Open Sans" w:cs="Open Sans"/>
        </w:rPr>
      </w:pPr>
      <w:r w:rsidRPr="003A41DF">
        <w:rPr>
          <w:rFonts w:ascii="Open Sans" w:hAnsi="Open Sans" w:cs="Open Sans"/>
        </w:rPr>
        <w:t>With respect to immunization data, perpetuating consent (to Master Patient Indexes, Record Locator Services, etc.) will likely be a significant issue.  Immunization data (and most public health data) can only be used for the purpose and by the entities/individuals who have a right to access it under very individualistic state requirements.  That really means that the QHINs should have a way to identify the type of person/entity requesting the data and ensure that their use of the data is appropriate. </w:t>
      </w:r>
      <w:r w:rsidRPr="003A41DF">
        <w:rPr>
          <w:rFonts w:ascii="Open Sans" w:hAnsi="Open Sans" w:cs="Open Sans"/>
          <w:b/>
        </w:rPr>
        <w:t>We would encourage ONC to expand on how this issue of data ownership and permitted uses will be addressed in the final Framework.</w:t>
      </w:r>
    </w:p>
    <w:p w14:paraId="564A9B39" w14:textId="77777777" w:rsidR="006B6689" w:rsidRPr="003A41DF" w:rsidRDefault="006B6689" w:rsidP="00341BEA">
      <w:pPr>
        <w:spacing w:after="120" w:line="240" w:lineRule="auto"/>
        <w:rPr>
          <w:rFonts w:ascii="Open Sans" w:hAnsi="Open Sans" w:cs="Open Sans"/>
        </w:rPr>
      </w:pPr>
      <w:r w:rsidRPr="003A41DF">
        <w:rPr>
          <w:rFonts w:ascii="Open Sans" w:hAnsi="Open Sans" w:cs="Open Sans"/>
        </w:rPr>
        <w:t xml:space="preserve">We are concerned that the requirement </w:t>
      </w:r>
      <w:r w:rsidR="00140151" w:rsidRPr="003A41DF">
        <w:rPr>
          <w:rFonts w:ascii="Open Sans" w:hAnsi="Open Sans" w:cs="Open Sans"/>
        </w:rPr>
        <w:t>for</w:t>
      </w:r>
      <w:r w:rsidRPr="003A41DF">
        <w:rPr>
          <w:rFonts w:ascii="Open Sans" w:hAnsi="Open Sans" w:cs="Open Sans"/>
        </w:rPr>
        <w:t xml:space="preserve"> a Qualified Health Information Network (QHIN) </w:t>
      </w:r>
      <w:r w:rsidR="00140151" w:rsidRPr="003A41DF">
        <w:rPr>
          <w:rFonts w:ascii="Open Sans" w:hAnsi="Open Sans" w:cs="Open Sans"/>
        </w:rPr>
        <w:t xml:space="preserve">to </w:t>
      </w:r>
      <w:r w:rsidRPr="003A41DF">
        <w:rPr>
          <w:rFonts w:ascii="Open Sans" w:hAnsi="Open Sans" w:cs="Open Sans"/>
        </w:rPr>
        <w:t xml:space="preserve">implement standards within twelve months of their publication </w:t>
      </w:r>
      <w:r w:rsidR="000F7326" w:rsidRPr="003A41DF">
        <w:rPr>
          <w:rFonts w:ascii="Open Sans" w:hAnsi="Open Sans" w:cs="Open Sans"/>
        </w:rPr>
        <w:t>may be</w:t>
      </w:r>
      <w:r w:rsidRPr="003A41DF">
        <w:rPr>
          <w:rFonts w:ascii="Open Sans" w:hAnsi="Open Sans" w:cs="Open Sans"/>
        </w:rPr>
        <w:t xml:space="preserve"> unrealistic. The standards development process is ongoing, yet it takes longer for a set of systems fulfilling a </w:t>
      </w:r>
      <w:proofErr w:type="gramStart"/>
      <w:r w:rsidRPr="003A41DF">
        <w:rPr>
          <w:rFonts w:ascii="Open Sans" w:hAnsi="Open Sans" w:cs="Open Sans"/>
        </w:rPr>
        <w:t>particular use</w:t>
      </w:r>
      <w:proofErr w:type="gramEnd"/>
      <w:r w:rsidRPr="003A41DF">
        <w:rPr>
          <w:rFonts w:ascii="Open Sans" w:hAnsi="Open Sans" w:cs="Open Sans"/>
        </w:rPr>
        <w:t xml:space="preserve"> case to implement a particular version of a standard consistently and pervasively. </w:t>
      </w:r>
      <w:r w:rsidR="00052DAD">
        <w:rPr>
          <w:rFonts w:ascii="Open Sans" w:hAnsi="Open Sans" w:cs="Open Sans"/>
        </w:rPr>
        <w:t xml:space="preserve">As a corollary example, many stages of Meaningful Use were delayed due to slow provider and EHR implementation. </w:t>
      </w:r>
      <w:r w:rsidRPr="003A41DF">
        <w:rPr>
          <w:rFonts w:ascii="Open Sans" w:hAnsi="Open Sans" w:cs="Open Sans"/>
        </w:rPr>
        <w:t>Organizations – including public health agencies</w:t>
      </w:r>
      <w:r w:rsidR="000F7326" w:rsidRPr="003A41DF">
        <w:rPr>
          <w:rFonts w:ascii="Open Sans" w:hAnsi="Open Sans" w:cs="Open Sans"/>
        </w:rPr>
        <w:t xml:space="preserve"> but also </w:t>
      </w:r>
      <w:r w:rsidR="00052DAD">
        <w:rPr>
          <w:rFonts w:ascii="Open Sans" w:hAnsi="Open Sans" w:cs="Open Sans"/>
        </w:rPr>
        <w:t>EHR s</w:t>
      </w:r>
      <w:r w:rsidR="000F7326" w:rsidRPr="003A41DF">
        <w:rPr>
          <w:rFonts w:ascii="Open Sans" w:hAnsi="Open Sans" w:cs="Open Sans"/>
        </w:rPr>
        <w:t>ystems and end-user providers</w:t>
      </w:r>
      <w:r w:rsidRPr="003A41DF">
        <w:rPr>
          <w:rFonts w:ascii="Open Sans" w:hAnsi="Open Sans" w:cs="Open Sans"/>
        </w:rPr>
        <w:t xml:space="preserve"> – </w:t>
      </w:r>
      <w:r w:rsidR="000F7326" w:rsidRPr="003A41DF">
        <w:rPr>
          <w:rFonts w:ascii="Open Sans" w:hAnsi="Open Sans" w:cs="Open Sans"/>
        </w:rPr>
        <w:t>can be slow to</w:t>
      </w:r>
      <w:r w:rsidRPr="003A41DF">
        <w:rPr>
          <w:rFonts w:ascii="Open Sans" w:hAnsi="Open Sans" w:cs="Open Sans"/>
        </w:rPr>
        <w:t xml:space="preserve"> migrate to newer standards. Even for C-CDA and FHIR standards, new (and sometimes conflicting) profiles are developed continuously and it may not be clear which one is appropriate to use.</w:t>
      </w:r>
      <w:r w:rsidR="007D4F55" w:rsidRPr="003A41DF">
        <w:rPr>
          <w:rFonts w:ascii="Open Sans" w:hAnsi="Open Sans" w:cs="Open Sans"/>
        </w:rPr>
        <w:t xml:space="preserve"> </w:t>
      </w:r>
      <w:r w:rsidR="007D4F55" w:rsidRPr="003A41DF">
        <w:rPr>
          <w:rFonts w:ascii="Open Sans" w:hAnsi="Open Sans" w:cs="Open Sans"/>
          <w:b/>
        </w:rPr>
        <w:t xml:space="preserve">We would encourage ONC to consider extending the </w:t>
      </w:r>
      <w:proofErr w:type="gramStart"/>
      <w:r w:rsidR="007D4F55" w:rsidRPr="003A41DF">
        <w:rPr>
          <w:rFonts w:ascii="Open Sans" w:hAnsi="Open Sans" w:cs="Open Sans"/>
          <w:b/>
        </w:rPr>
        <w:t>time period</w:t>
      </w:r>
      <w:proofErr w:type="gramEnd"/>
      <w:r w:rsidR="007D4F55" w:rsidRPr="003A41DF">
        <w:rPr>
          <w:rFonts w:ascii="Open Sans" w:hAnsi="Open Sans" w:cs="Open Sans"/>
          <w:b/>
        </w:rPr>
        <w:t xml:space="preserve"> </w:t>
      </w:r>
      <w:r w:rsidR="00B431A1" w:rsidRPr="003A41DF">
        <w:rPr>
          <w:rFonts w:ascii="Open Sans" w:hAnsi="Open Sans" w:cs="Open Sans"/>
          <w:b/>
        </w:rPr>
        <w:t xml:space="preserve">for implementation of </w:t>
      </w:r>
      <w:r w:rsidR="00BD6992" w:rsidRPr="003A41DF">
        <w:rPr>
          <w:rFonts w:ascii="Open Sans" w:hAnsi="Open Sans" w:cs="Open Sans"/>
          <w:b/>
        </w:rPr>
        <w:t>new</w:t>
      </w:r>
      <w:r w:rsidR="00B431A1" w:rsidRPr="003A41DF">
        <w:rPr>
          <w:rFonts w:ascii="Open Sans" w:hAnsi="Open Sans" w:cs="Open Sans"/>
          <w:b/>
        </w:rPr>
        <w:t xml:space="preserve"> standards</w:t>
      </w:r>
      <w:r w:rsidR="00B22224" w:rsidRPr="003A41DF">
        <w:rPr>
          <w:rFonts w:ascii="Open Sans" w:hAnsi="Open Sans" w:cs="Open Sans"/>
          <w:b/>
        </w:rPr>
        <w:t xml:space="preserve">, </w:t>
      </w:r>
      <w:r w:rsidR="00052DAD">
        <w:rPr>
          <w:rFonts w:ascii="Open Sans" w:hAnsi="Open Sans" w:cs="Open Sans"/>
          <w:b/>
        </w:rPr>
        <w:t>as</w:t>
      </w:r>
      <w:r w:rsidR="00B22224" w:rsidRPr="003A41DF">
        <w:rPr>
          <w:rFonts w:ascii="Open Sans" w:hAnsi="Open Sans" w:cs="Open Sans"/>
          <w:b/>
        </w:rPr>
        <w:t xml:space="preserve"> 12 months may be unrealistic in practice</w:t>
      </w:r>
      <w:r w:rsidR="00B431A1" w:rsidRPr="003A41DF">
        <w:rPr>
          <w:rFonts w:ascii="Open Sans" w:hAnsi="Open Sans" w:cs="Open Sans"/>
          <w:b/>
        </w:rPr>
        <w:t>.</w:t>
      </w:r>
      <w:r w:rsidR="00B431A1" w:rsidRPr="003A41DF">
        <w:rPr>
          <w:rFonts w:ascii="Open Sans" w:hAnsi="Open Sans" w:cs="Open Sans"/>
        </w:rPr>
        <w:t xml:space="preserve"> </w:t>
      </w:r>
    </w:p>
    <w:p w14:paraId="0731B306" w14:textId="77777777" w:rsidR="00CE3EA3" w:rsidRDefault="00CE3EA3" w:rsidP="00341BEA">
      <w:pPr>
        <w:spacing w:after="120" w:line="240" w:lineRule="auto"/>
        <w:rPr>
          <w:rFonts w:ascii="Open Sans" w:hAnsi="Open Sans" w:cs="Open Sans"/>
        </w:rPr>
      </w:pPr>
      <w:r w:rsidRPr="00AB76A7">
        <w:rPr>
          <w:rFonts w:ascii="Open Sans" w:hAnsi="Open Sans" w:cs="Open Sans"/>
        </w:rPr>
        <w:t xml:space="preserve">We also have some concerns regarding the Recognized Coordinating Entity, or RCE. Government has specific responsibilities for ensuring public health. In standing up the RCE with a cooperative agreement, ONC is delegating some governmental responsibilities to a private sector RCE. </w:t>
      </w:r>
      <w:r w:rsidRPr="00AB76A7">
        <w:rPr>
          <w:rFonts w:ascii="Open Sans" w:hAnsi="Open Sans" w:cs="Open Sans"/>
          <w:b/>
        </w:rPr>
        <w:t>Public health needs to be represented in developing the governance and in managing the RCE.</w:t>
      </w:r>
      <w:r>
        <w:rPr>
          <w:rFonts w:ascii="Open Sans" w:hAnsi="Open Sans" w:cs="Open Sans"/>
        </w:rPr>
        <w:t xml:space="preserve"> </w:t>
      </w:r>
    </w:p>
    <w:p w14:paraId="18ADB470" w14:textId="77777777" w:rsidR="006B6689" w:rsidRPr="003A41DF" w:rsidRDefault="000F7326" w:rsidP="00341BEA">
      <w:pPr>
        <w:spacing w:after="120" w:line="240" w:lineRule="auto"/>
        <w:rPr>
          <w:rFonts w:ascii="Open Sans" w:hAnsi="Open Sans" w:cs="Open Sans"/>
        </w:rPr>
      </w:pPr>
      <w:r w:rsidRPr="003A41DF">
        <w:rPr>
          <w:rFonts w:ascii="Open Sans" w:hAnsi="Open Sans" w:cs="Open Sans"/>
        </w:rPr>
        <w:t>The</w:t>
      </w:r>
      <w:r w:rsidR="006B6689" w:rsidRPr="003A41DF">
        <w:rPr>
          <w:rFonts w:ascii="Open Sans" w:hAnsi="Open Sans" w:cs="Open Sans"/>
        </w:rPr>
        <w:t xml:space="preserve"> Draft US Core Data for Interoperability (USCDI) introduces some additional uncertainly. It is not clear how an ever-expanding set of core data </w:t>
      </w:r>
      <w:r w:rsidRPr="003A41DF">
        <w:rPr>
          <w:rFonts w:ascii="Open Sans" w:hAnsi="Open Sans" w:cs="Open Sans"/>
        </w:rPr>
        <w:t>may be met moving forward, given the differences in exchange today</w:t>
      </w:r>
      <w:r w:rsidR="006B6689" w:rsidRPr="003A41DF">
        <w:rPr>
          <w:rFonts w:ascii="Open Sans" w:hAnsi="Open Sans" w:cs="Open Sans"/>
        </w:rPr>
        <w:t>. It is also unclear how the HIPAA notion of “minimum necessary” applies to the requirement for transmitting a pre-determined core set of data</w:t>
      </w:r>
      <w:r w:rsidR="00EF6154">
        <w:rPr>
          <w:rFonts w:ascii="Open Sans" w:hAnsi="Open Sans" w:cs="Open Sans"/>
        </w:rPr>
        <w:t>, as the C-CDA would contain much more data than needed for immunization use</w:t>
      </w:r>
      <w:r w:rsidR="006B6689" w:rsidRPr="003A41DF">
        <w:rPr>
          <w:rFonts w:ascii="Open Sans" w:hAnsi="Open Sans" w:cs="Open Sans"/>
        </w:rPr>
        <w:t>.</w:t>
      </w:r>
      <w:r w:rsidR="00B431A1" w:rsidRPr="003A41DF">
        <w:rPr>
          <w:rFonts w:ascii="Open Sans" w:hAnsi="Open Sans" w:cs="Open Sans"/>
        </w:rPr>
        <w:t xml:space="preserve"> </w:t>
      </w:r>
      <w:r w:rsidR="00EF6154">
        <w:rPr>
          <w:rFonts w:ascii="Open Sans" w:hAnsi="Open Sans" w:cs="Open Sans"/>
        </w:rPr>
        <w:t>Furthermore, the IIS community has learned from experience that highly constrained implementation guides and testing are also required to ensure smooth interoperability.</w:t>
      </w:r>
      <w:r w:rsidR="00A00630">
        <w:rPr>
          <w:rFonts w:ascii="Open Sans" w:hAnsi="Open Sans" w:cs="Open Sans"/>
        </w:rPr>
        <w:t xml:space="preserve"> The Immunization Community uses the CDC-Endorsed Data Elements as a reference point for data for interoperability, and more work is underway within AIRA to further define the characteristics of those elements. This may yield helpful lessons for ONC to leverage in further developing the USCDI, and we would welcome the opportunity to share this work.</w:t>
      </w:r>
      <w:r w:rsidR="00EF6154">
        <w:rPr>
          <w:rFonts w:ascii="Open Sans" w:hAnsi="Open Sans" w:cs="Open Sans"/>
        </w:rPr>
        <w:t xml:space="preserve"> </w:t>
      </w:r>
      <w:r w:rsidR="00B431A1" w:rsidRPr="003A41DF">
        <w:rPr>
          <w:rFonts w:ascii="Open Sans" w:hAnsi="Open Sans" w:cs="Open Sans"/>
          <w:b/>
        </w:rPr>
        <w:lastRenderedPageBreak/>
        <w:t>We ask that these issues</w:t>
      </w:r>
      <w:r w:rsidR="00EF6154">
        <w:rPr>
          <w:rFonts w:ascii="Open Sans" w:hAnsi="Open Sans" w:cs="Open Sans"/>
          <w:b/>
        </w:rPr>
        <w:t xml:space="preserve"> related to core data elements, alternatives to the C-CDA, implementation guides and testing</w:t>
      </w:r>
      <w:r w:rsidR="00B431A1" w:rsidRPr="003A41DF">
        <w:rPr>
          <w:rFonts w:ascii="Open Sans" w:hAnsi="Open Sans" w:cs="Open Sans"/>
          <w:b/>
        </w:rPr>
        <w:t xml:space="preserve"> be further explored</w:t>
      </w:r>
      <w:r w:rsidR="00EF6154">
        <w:rPr>
          <w:rFonts w:ascii="Open Sans" w:hAnsi="Open Sans" w:cs="Open Sans"/>
          <w:b/>
        </w:rPr>
        <w:t xml:space="preserve">, </w:t>
      </w:r>
      <w:r w:rsidR="00B431A1" w:rsidRPr="003A41DF">
        <w:rPr>
          <w:rFonts w:ascii="Open Sans" w:hAnsi="Open Sans" w:cs="Open Sans"/>
          <w:b/>
        </w:rPr>
        <w:t xml:space="preserve">articulated </w:t>
      </w:r>
      <w:r w:rsidR="00EF6154">
        <w:rPr>
          <w:rFonts w:ascii="Open Sans" w:hAnsi="Open Sans" w:cs="Open Sans"/>
          <w:b/>
        </w:rPr>
        <w:t xml:space="preserve">and documented </w:t>
      </w:r>
      <w:r w:rsidR="00B431A1" w:rsidRPr="003A41DF">
        <w:rPr>
          <w:rFonts w:ascii="Open Sans" w:hAnsi="Open Sans" w:cs="Open Sans"/>
          <w:b/>
        </w:rPr>
        <w:t>in the final Framework.</w:t>
      </w:r>
      <w:r w:rsidR="00B431A1" w:rsidRPr="003A41DF">
        <w:rPr>
          <w:rFonts w:ascii="Open Sans" w:hAnsi="Open Sans" w:cs="Open Sans"/>
        </w:rPr>
        <w:t xml:space="preserve"> </w:t>
      </w:r>
    </w:p>
    <w:p w14:paraId="5AEFFC8F" w14:textId="77777777" w:rsidR="005A0C16" w:rsidRDefault="00546A6F" w:rsidP="00341BEA">
      <w:pPr>
        <w:spacing w:after="120" w:line="240" w:lineRule="auto"/>
        <w:rPr>
          <w:rFonts w:ascii="Open Sans" w:hAnsi="Open Sans" w:cs="Open Sans"/>
        </w:rPr>
      </w:pPr>
      <w:r>
        <w:rPr>
          <w:rFonts w:ascii="Open Sans" w:hAnsi="Open Sans" w:cs="Open Sans"/>
        </w:rPr>
        <w:t xml:space="preserve">Finally, we would encourage ONC to revisit the core responsibilities of Public Health in considering </w:t>
      </w:r>
      <w:r w:rsidR="005A0C16">
        <w:rPr>
          <w:rFonts w:ascii="Open Sans" w:hAnsi="Open Sans" w:cs="Open Sans"/>
        </w:rPr>
        <w:t>our critical</w:t>
      </w:r>
      <w:r>
        <w:rPr>
          <w:rFonts w:ascii="Open Sans" w:hAnsi="Open Sans" w:cs="Open Sans"/>
        </w:rPr>
        <w:t xml:space="preserve"> role within TEFCA. The </w:t>
      </w:r>
      <w:r w:rsidR="005A0C16">
        <w:rPr>
          <w:rFonts w:ascii="Open Sans" w:hAnsi="Open Sans" w:cs="Open Sans"/>
        </w:rPr>
        <w:t>role of Public Health referred to in TEFCA is as follows: “</w:t>
      </w:r>
      <w:r w:rsidR="005A0C16" w:rsidRPr="005A0C16">
        <w:rPr>
          <w:rFonts w:ascii="Open Sans" w:hAnsi="Open Sans" w:cs="Open Sans"/>
          <w:i/>
        </w:rPr>
        <w:t>W</w:t>
      </w:r>
      <w:r w:rsidR="005A0C16" w:rsidRPr="005A0C16">
        <w:rPr>
          <w:rFonts w:ascii="Open Sans" w:hAnsi="Open Sans" w:cs="Open Sans"/>
          <w:i/>
          <w:iCs/>
        </w:rPr>
        <w:t>e seek a system where public health agencies and researchers can rapidly learn, develop, and deliver cutting edge treatments by having secure, appropriate access to Electronic Health Information</w:t>
      </w:r>
      <w:r w:rsidR="005A0C16">
        <w:rPr>
          <w:rFonts w:ascii="Open Sans" w:hAnsi="Open Sans" w:cs="Open Sans"/>
          <w:i/>
          <w:iCs/>
        </w:rPr>
        <w:t xml:space="preserve">.” </w:t>
      </w:r>
      <w:r w:rsidR="005A0C16">
        <w:rPr>
          <w:rFonts w:ascii="Open Sans" w:hAnsi="Open Sans" w:cs="Open Sans"/>
          <w:iCs/>
        </w:rPr>
        <w:t>However, Public Health’s roles and responsibilities do not focus on cutting edge treatments as much as promoting and protecting the health of people and communities.</w:t>
      </w:r>
      <w:r w:rsidR="005A0C16">
        <w:rPr>
          <w:rStyle w:val="FootnoteReference"/>
          <w:rFonts w:ascii="Open Sans" w:hAnsi="Open Sans" w:cs="Open Sans"/>
          <w:iCs/>
        </w:rPr>
        <w:footnoteReference w:id="3"/>
      </w:r>
      <w:r w:rsidR="005A0C16">
        <w:rPr>
          <w:rFonts w:ascii="Open Sans" w:hAnsi="Open Sans" w:cs="Open Sans"/>
          <w:iCs/>
        </w:rPr>
        <w:t xml:space="preserve"> </w:t>
      </w:r>
      <w:r w:rsidR="005A0C16" w:rsidRPr="00D55BB9">
        <w:rPr>
          <w:rFonts w:ascii="Open Sans" w:hAnsi="Open Sans" w:cs="Open Sans"/>
          <w:b/>
          <w:iCs/>
        </w:rPr>
        <w:t xml:space="preserve">Data and interoperability are essential tools to ensure Public Health can meet this charge, and we look forward to </w:t>
      </w:r>
      <w:r w:rsidR="00966FFF" w:rsidRPr="00D55BB9">
        <w:rPr>
          <w:rFonts w:ascii="Open Sans" w:hAnsi="Open Sans" w:cs="Open Sans"/>
          <w:b/>
          <w:iCs/>
        </w:rPr>
        <w:t xml:space="preserve">partnering with ONC to </w:t>
      </w:r>
      <w:r w:rsidR="005A0C16" w:rsidRPr="00D55BB9">
        <w:rPr>
          <w:rFonts w:ascii="Open Sans" w:hAnsi="Open Sans" w:cs="Open Sans"/>
          <w:b/>
          <w:iCs/>
        </w:rPr>
        <w:t>help craft a meaningful role for Public Health in TEFCA.</w:t>
      </w:r>
    </w:p>
    <w:p w14:paraId="43B8EBEA" w14:textId="61C3F2D5" w:rsidR="00614E60" w:rsidRPr="003A41DF" w:rsidRDefault="009840AB" w:rsidP="00341BEA">
      <w:pPr>
        <w:spacing w:after="120" w:line="240" w:lineRule="auto"/>
        <w:rPr>
          <w:rFonts w:ascii="Open Sans" w:hAnsi="Open Sans" w:cs="Open Sans"/>
        </w:rPr>
      </w:pPr>
      <w:r w:rsidRPr="003A41DF">
        <w:rPr>
          <w:rFonts w:ascii="Open Sans" w:hAnsi="Open Sans" w:cs="Open Sans"/>
        </w:rPr>
        <w:t xml:space="preserve">The following table includes further detailed comments by section. </w:t>
      </w:r>
      <w:r w:rsidR="00D72E6E" w:rsidRPr="003A41DF">
        <w:rPr>
          <w:rFonts w:ascii="Open Sans" w:hAnsi="Open Sans" w:cs="Open Sans"/>
        </w:rPr>
        <w:t xml:space="preserve">AIRA </w:t>
      </w:r>
      <w:r w:rsidR="008349AA" w:rsidRPr="003A41DF">
        <w:rPr>
          <w:rFonts w:ascii="Open Sans" w:hAnsi="Open Sans" w:cs="Open Sans"/>
        </w:rPr>
        <w:t xml:space="preserve">greatly </w:t>
      </w:r>
      <w:r w:rsidR="00D72E6E" w:rsidRPr="003A41DF">
        <w:rPr>
          <w:rFonts w:ascii="Open Sans" w:hAnsi="Open Sans" w:cs="Open Sans"/>
        </w:rPr>
        <w:t xml:space="preserve">appreciates the </w:t>
      </w:r>
      <w:r w:rsidR="008349AA" w:rsidRPr="003A41DF">
        <w:rPr>
          <w:rFonts w:ascii="Open Sans" w:hAnsi="Open Sans" w:cs="Open Sans"/>
        </w:rPr>
        <w:t>efforts</w:t>
      </w:r>
      <w:r w:rsidR="00D72E6E" w:rsidRPr="003A41DF">
        <w:rPr>
          <w:rFonts w:ascii="Open Sans" w:hAnsi="Open Sans" w:cs="Open Sans"/>
        </w:rPr>
        <w:t xml:space="preserve"> of ONC</w:t>
      </w:r>
      <w:r w:rsidR="008349AA" w:rsidRPr="003A41DF">
        <w:rPr>
          <w:rFonts w:ascii="Open Sans" w:hAnsi="Open Sans" w:cs="Open Sans"/>
        </w:rPr>
        <w:t xml:space="preserve"> to </w:t>
      </w:r>
      <w:r w:rsidR="00000EDF" w:rsidRPr="003A41DF">
        <w:rPr>
          <w:rFonts w:ascii="Open Sans" w:hAnsi="Open Sans" w:cs="Open Sans"/>
        </w:rPr>
        <w:t>further interoperability across organizations and jurisdictions,</w:t>
      </w:r>
      <w:r w:rsidR="002736F4" w:rsidRPr="003A41DF">
        <w:rPr>
          <w:rFonts w:ascii="Open Sans" w:hAnsi="Open Sans" w:cs="Open Sans"/>
        </w:rPr>
        <w:t xml:space="preserve"> and we </w:t>
      </w:r>
      <w:r w:rsidR="00D72E6E" w:rsidRPr="003A41DF">
        <w:rPr>
          <w:rFonts w:ascii="Open Sans" w:hAnsi="Open Sans" w:cs="Open Sans"/>
        </w:rPr>
        <w:t>look forward to support</w:t>
      </w:r>
      <w:r w:rsidR="002736F4" w:rsidRPr="003A41DF">
        <w:rPr>
          <w:rFonts w:ascii="Open Sans" w:hAnsi="Open Sans" w:cs="Open Sans"/>
        </w:rPr>
        <w:t>ing</w:t>
      </w:r>
      <w:r w:rsidR="00D72E6E" w:rsidRPr="003A41DF">
        <w:rPr>
          <w:rFonts w:ascii="Open Sans" w:hAnsi="Open Sans" w:cs="Open Sans"/>
        </w:rPr>
        <w:t xml:space="preserve"> our </w:t>
      </w:r>
      <w:r w:rsidR="00A14CDA" w:rsidRPr="003A41DF">
        <w:rPr>
          <w:rFonts w:ascii="Open Sans" w:hAnsi="Open Sans" w:cs="Open Sans"/>
        </w:rPr>
        <w:t xml:space="preserve">members and </w:t>
      </w:r>
      <w:r w:rsidR="00D72E6E" w:rsidRPr="003A41DF">
        <w:rPr>
          <w:rFonts w:ascii="Open Sans" w:hAnsi="Open Sans" w:cs="Open Sans"/>
        </w:rPr>
        <w:t xml:space="preserve">partners </w:t>
      </w:r>
      <w:r w:rsidR="00000EDF" w:rsidRPr="003A41DF">
        <w:rPr>
          <w:rFonts w:ascii="Open Sans" w:hAnsi="Open Sans" w:cs="Open Sans"/>
        </w:rPr>
        <w:t>as they navigate further exchange</w:t>
      </w:r>
      <w:r w:rsidR="000F7326" w:rsidRPr="003A41DF">
        <w:rPr>
          <w:rFonts w:ascii="Open Sans" w:hAnsi="Open Sans" w:cs="Open Sans"/>
        </w:rPr>
        <w:t xml:space="preserve"> both within and outside of the Trusted Exchange Framework</w:t>
      </w:r>
      <w:r w:rsidR="00000EDF" w:rsidRPr="003A41DF">
        <w:rPr>
          <w:rFonts w:ascii="Open Sans" w:hAnsi="Open Sans" w:cs="Open Sans"/>
        </w:rPr>
        <w:t>.</w:t>
      </w:r>
      <w:r w:rsidR="00B100EE" w:rsidRPr="003A41DF">
        <w:rPr>
          <w:rFonts w:ascii="Open Sans" w:hAnsi="Open Sans" w:cs="Open Sans"/>
        </w:rPr>
        <w:t xml:space="preserve"> Please contact </w:t>
      </w:r>
      <w:r w:rsidR="005B573E">
        <w:rPr>
          <w:rFonts w:ascii="Open Sans" w:hAnsi="Open Sans" w:cs="Open Sans"/>
        </w:rPr>
        <w:t>me</w:t>
      </w:r>
      <w:r w:rsidR="005B573E" w:rsidRPr="003A41DF">
        <w:rPr>
          <w:rFonts w:ascii="Open Sans" w:hAnsi="Open Sans" w:cs="Open Sans"/>
        </w:rPr>
        <w:t xml:space="preserve"> </w:t>
      </w:r>
      <w:r w:rsidR="00B100EE" w:rsidRPr="003A41DF">
        <w:rPr>
          <w:rFonts w:ascii="Open Sans" w:hAnsi="Open Sans" w:cs="Open Sans"/>
        </w:rPr>
        <w:t>with any questions</w:t>
      </w:r>
      <w:r w:rsidR="005B573E">
        <w:rPr>
          <w:rFonts w:ascii="Open Sans" w:hAnsi="Open Sans" w:cs="Open Sans"/>
        </w:rPr>
        <w:t xml:space="preserve"> at</w:t>
      </w:r>
      <w:r w:rsidR="00B100EE" w:rsidRPr="003A41DF">
        <w:rPr>
          <w:rFonts w:ascii="Open Sans" w:hAnsi="Open Sans" w:cs="Open Sans"/>
        </w:rPr>
        <w:t xml:space="preserve"> </w:t>
      </w:r>
      <w:hyperlink r:id="rId9" w:history="1">
        <w:r w:rsidR="00B100EE" w:rsidRPr="003A41DF">
          <w:rPr>
            <w:rStyle w:val="Hyperlink"/>
            <w:rFonts w:ascii="Open Sans" w:hAnsi="Open Sans" w:cs="Open Sans"/>
            <w:color w:val="auto"/>
          </w:rPr>
          <w:t>coyler@immregistries.org</w:t>
        </w:r>
      </w:hyperlink>
      <w:r w:rsidR="00B100EE" w:rsidRPr="003A41DF">
        <w:rPr>
          <w:rFonts w:ascii="Open Sans" w:hAnsi="Open Sans" w:cs="Open Sans"/>
        </w:rPr>
        <w:t>.</w:t>
      </w:r>
    </w:p>
    <w:p w14:paraId="2A38CC0B" w14:textId="77777777" w:rsidR="00373BFC" w:rsidRDefault="00373BFC" w:rsidP="00D72E6E">
      <w:pPr>
        <w:rPr>
          <w:rFonts w:ascii="Open Sans" w:hAnsi="Open Sans" w:cs="Open Sans"/>
        </w:rPr>
      </w:pPr>
    </w:p>
    <w:p w14:paraId="283F546A" w14:textId="382CD01D" w:rsidR="00D72E6E" w:rsidRPr="003A41DF" w:rsidRDefault="00D72E6E" w:rsidP="00D72E6E">
      <w:pPr>
        <w:rPr>
          <w:rFonts w:ascii="Open Sans" w:hAnsi="Open Sans" w:cs="Open Sans"/>
        </w:rPr>
      </w:pPr>
      <w:r w:rsidRPr="003A41DF">
        <w:rPr>
          <w:rFonts w:ascii="Open Sans" w:hAnsi="Open Sans" w:cs="Open Sans"/>
        </w:rPr>
        <w:t>Sincerely,</w:t>
      </w:r>
    </w:p>
    <w:p w14:paraId="2D15070A" w14:textId="77777777" w:rsidR="00300384" w:rsidRPr="003A41DF" w:rsidRDefault="00300384" w:rsidP="00D72E6E">
      <w:pPr>
        <w:rPr>
          <w:rFonts w:ascii="Open Sans" w:hAnsi="Open Sans" w:cs="Open Sans"/>
        </w:rPr>
      </w:pPr>
    </w:p>
    <w:p w14:paraId="3BBA0FD6" w14:textId="77777777" w:rsidR="00BE7107" w:rsidRPr="003A41DF" w:rsidRDefault="00D72E6E" w:rsidP="00341BEA">
      <w:pPr>
        <w:spacing w:after="120" w:line="240" w:lineRule="auto"/>
        <w:rPr>
          <w:rFonts w:ascii="Open Sans" w:hAnsi="Open Sans" w:cs="Open Sans"/>
        </w:rPr>
      </w:pPr>
      <w:r w:rsidRPr="003A41DF">
        <w:rPr>
          <w:rFonts w:ascii="Open Sans" w:hAnsi="Open Sans" w:cs="Open Sans"/>
          <w:color w:val="3B3838"/>
        </w:rPr>
        <w:t xml:space="preserve">Rebecca Coyle </w:t>
      </w:r>
      <w:proofErr w:type="spellStart"/>
      <w:r w:rsidRPr="003A41DF">
        <w:rPr>
          <w:rFonts w:ascii="Open Sans" w:hAnsi="Open Sans" w:cs="Open Sans"/>
          <w:color w:val="3B3838"/>
        </w:rPr>
        <w:t>MSEd</w:t>
      </w:r>
      <w:proofErr w:type="spellEnd"/>
      <w:r w:rsidRPr="003A41DF">
        <w:rPr>
          <w:rFonts w:ascii="Open Sans" w:hAnsi="Open Sans" w:cs="Open Sans"/>
          <w:color w:val="3B3838"/>
        </w:rPr>
        <w:t>, Executive Director</w:t>
      </w:r>
      <w:r w:rsidRPr="003A41DF">
        <w:rPr>
          <w:rFonts w:ascii="Open Sans" w:hAnsi="Open Sans" w:cs="Open Sans"/>
          <w:color w:val="3B3838"/>
        </w:rPr>
        <w:br/>
        <w:t>American Immunization Registry Association (AIRA)</w:t>
      </w:r>
      <w:r w:rsidRPr="003A41DF">
        <w:rPr>
          <w:rFonts w:ascii="Open Sans" w:hAnsi="Open Sans" w:cs="Open Sans"/>
        </w:rPr>
        <w:br w:type="page"/>
      </w:r>
    </w:p>
    <w:p w14:paraId="6BFE616D" w14:textId="77777777" w:rsidR="00D72E6E" w:rsidRPr="005B573E" w:rsidRDefault="00D72E6E" w:rsidP="00140151">
      <w:pPr>
        <w:pStyle w:val="Heading1"/>
        <w:rPr>
          <w:rFonts w:ascii="Open Sans Light" w:hAnsi="Open Sans Light" w:cs="Open Sans Light"/>
        </w:rPr>
      </w:pPr>
      <w:r w:rsidRPr="005B573E">
        <w:rPr>
          <w:rFonts w:ascii="Open Sans Light" w:hAnsi="Open Sans Light" w:cs="Open Sans Light"/>
        </w:rPr>
        <w:lastRenderedPageBreak/>
        <w:t>Comments on the</w:t>
      </w:r>
      <w:r w:rsidR="008B6E8F" w:rsidRPr="005B573E">
        <w:rPr>
          <w:rFonts w:ascii="Open Sans Light" w:hAnsi="Open Sans Light" w:cs="Open Sans Light"/>
        </w:rPr>
        <w:t xml:space="preserve"> </w:t>
      </w:r>
      <w:r w:rsidR="00000EDF" w:rsidRPr="005B573E">
        <w:rPr>
          <w:rFonts w:ascii="Open Sans Light" w:hAnsi="Open Sans Light" w:cs="Open Sans Light"/>
        </w:rPr>
        <w:t>Draft Trusted Exchange Framework</w:t>
      </w:r>
    </w:p>
    <w:p w14:paraId="18EC86E4" w14:textId="77777777" w:rsidR="006929CC" w:rsidRPr="006929CC" w:rsidRDefault="006929CC" w:rsidP="006929CC">
      <w:pPr>
        <w:pStyle w:val="Heading3"/>
      </w:pPr>
    </w:p>
    <w:tbl>
      <w:tblPr>
        <w:tblStyle w:val="TableGrid"/>
        <w:tblW w:w="9535" w:type="dxa"/>
        <w:tblLayout w:type="fixed"/>
        <w:tblLook w:val="04A0" w:firstRow="1" w:lastRow="0" w:firstColumn="1" w:lastColumn="0" w:noHBand="0" w:noVBand="1"/>
      </w:tblPr>
      <w:tblGrid>
        <w:gridCol w:w="1345"/>
        <w:gridCol w:w="4050"/>
        <w:gridCol w:w="4140"/>
      </w:tblGrid>
      <w:tr w:rsidR="00A41306" w:rsidRPr="005B573E" w14:paraId="02C2DF65" w14:textId="77777777" w:rsidTr="005B573E">
        <w:trPr>
          <w:cantSplit/>
          <w:tblHeader/>
        </w:trPr>
        <w:tc>
          <w:tcPr>
            <w:tcW w:w="1345" w:type="dxa"/>
            <w:shd w:val="clear" w:color="auto" w:fill="1C3C50" w:themeFill="accent2"/>
            <w:vAlign w:val="center"/>
          </w:tcPr>
          <w:p w14:paraId="44FF88B5" w14:textId="77777777" w:rsidR="00A41306" w:rsidRPr="005B573E" w:rsidRDefault="00A41306" w:rsidP="005B573E">
            <w:pPr>
              <w:jc w:val="center"/>
              <w:rPr>
                <w:rFonts w:ascii="Open Sans Light" w:hAnsi="Open Sans Light" w:cs="Open Sans Light"/>
                <w:b/>
              </w:rPr>
            </w:pPr>
            <w:r w:rsidRPr="005B573E">
              <w:rPr>
                <w:rFonts w:ascii="Open Sans Light" w:hAnsi="Open Sans Light" w:cs="Open Sans Light"/>
                <w:b/>
              </w:rPr>
              <w:t>Section</w:t>
            </w:r>
            <w:r w:rsidR="003428B7" w:rsidRPr="005B573E">
              <w:rPr>
                <w:rFonts w:ascii="Open Sans Light" w:hAnsi="Open Sans Light" w:cs="Open Sans Light"/>
                <w:b/>
              </w:rPr>
              <w:t>/ Page Number</w:t>
            </w:r>
          </w:p>
        </w:tc>
        <w:tc>
          <w:tcPr>
            <w:tcW w:w="4050" w:type="dxa"/>
            <w:shd w:val="clear" w:color="auto" w:fill="1C3C50" w:themeFill="accent2"/>
            <w:vAlign w:val="center"/>
          </w:tcPr>
          <w:p w14:paraId="1A2C6438" w14:textId="77777777" w:rsidR="00A41306" w:rsidRPr="005B573E" w:rsidRDefault="00A41306" w:rsidP="005B573E">
            <w:pPr>
              <w:jc w:val="center"/>
              <w:rPr>
                <w:rFonts w:ascii="Open Sans Light" w:hAnsi="Open Sans Light" w:cs="Open Sans Light"/>
                <w:b/>
                <w:sz w:val="26"/>
              </w:rPr>
            </w:pPr>
            <w:r w:rsidRPr="005B573E">
              <w:rPr>
                <w:rFonts w:ascii="Open Sans Light" w:hAnsi="Open Sans Light" w:cs="Open Sans Light"/>
                <w:b/>
                <w:sz w:val="26"/>
              </w:rPr>
              <w:t>Excerpt</w:t>
            </w:r>
          </w:p>
        </w:tc>
        <w:tc>
          <w:tcPr>
            <w:tcW w:w="4140" w:type="dxa"/>
            <w:shd w:val="clear" w:color="auto" w:fill="1C3C50" w:themeFill="accent2"/>
            <w:vAlign w:val="center"/>
          </w:tcPr>
          <w:p w14:paraId="340D715E" w14:textId="77777777" w:rsidR="00A41306" w:rsidRPr="005B573E" w:rsidRDefault="00A41306" w:rsidP="005B573E">
            <w:pPr>
              <w:jc w:val="center"/>
              <w:rPr>
                <w:rFonts w:ascii="Open Sans Light" w:hAnsi="Open Sans Light" w:cs="Open Sans Light"/>
                <w:b/>
                <w:sz w:val="26"/>
              </w:rPr>
            </w:pPr>
            <w:r w:rsidRPr="005B573E">
              <w:rPr>
                <w:rFonts w:ascii="Open Sans Light" w:hAnsi="Open Sans Light" w:cs="Open Sans Light"/>
                <w:b/>
                <w:sz w:val="26"/>
              </w:rPr>
              <w:t>Comment</w:t>
            </w:r>
          </w:p>
        </w:tc>
      </w:tr>
      <w:tr w:rsidR="00A41306" w14:paraId="74B471CF" w14:textId="77777777" w:rsidTr="005B573E">
        <w:trPr>
          <w:cantSplit/>
        </w:trPr>
        <w:tc>
          <w:tcPr>
            <w:tcW w:w="1345" w:type="dxa"/>
          </w:tcPr>
          <w:p w14:paraId="0900DAAB" w14:textId="77777777" w:rsidR="00A41306" w:rsidRPr="00140151" w:rsidRDefault="003428B7" w:rsidP="00A74290">
            <w:pPr>
              <w:rPr>
                <w:rFonts w:ascii="Open Sans" w:hAnsi="Open Sans" w:cs="Open Sans"/>
              </w:rPr>
            </w:pPr>
            <w:r w:rsidRPr="00140151">
              <w:rPr>
                <w:rFonts w:ascii="Open Sans" w:hAnsi="Open Sans" w:cs="Open Sans"/>
              </w:rPr>
              <w:t>p. 6</w:t>
            </w:r>
          </w:p>
        </w:tc>
        <w:tc>
          <w:tcPr>
            <w:tcW w:w="4050" w:type="dxa"/>
          </w:tcPr>
          <w:p w14:paraId="00D195B7" w14:textId="77777777" w:rsidR="00A41306" w:rsidRPr="00140151" w:rsidRDefault="00C7121F" w:rsidP="00CA687C">
            <w:pPr>
              <w:rPr>
                <w:rFonts w:ascii="Open Sans" w:hAnsi="Open Sans" w:cs="Open Sans"/>
                <w:color w:val="000000" w:themeColor="text1"/>
              </w:rPr>
            </w:pPr>
            <w:r w:rsidRPr="00140151">
              <w:rPr>
                <w:rFonts w:ascii="Open Sans" w:hAnsi="Open Sans" w:cs="Open Sans"/>
              </w:rPr>
              <w:t>… establishing a single “on ramp” to Electronic Health Information that works regardless of one’s chosen network is feasible and achievable.</w:t>
            </w:r>
          </w:p>
        </w:tc>
        <w:tc>
          <w:tcPr>
            <w:tcW w:w="4140" w:type="dxa"/>
          </w:tcPr>
          <w:p w14:paraId="03692B72" w14:textId="32D07A22" w:rsidR="007B4C97" w:rsidRPr="00140151" w:rsidRDefault="003428B7" w:rsidP="004C6C99">
            <w:pPr>
              <w:rPr>
                <w:rFonts w:ascii="Open Sans" w:hAnsi="Open Sans" w:cs="Open Sans"/>
              </w:rPr>
            </w:pPr>
            <w:r w:rsidRPr="00140151">
              <w:rPr>
                <w:rFonts w:ascii="Open Sans" w:hAnsi="Open Sans" w:cs="Open Sans"/>
              </w:rPr>
              <w:t xml:space="preserve">The </w:t>
            </w:r>
            <w:r w:rsidR="00A50C63" w:rsidRPr="00140151">
              <w:rPr>
                <w:rFonts w:ascii="Open Sans" w:hAnsi="Open Sans" w:cs="Open Sans"/>
              </w:rPr>
              <w:t>use of the term</w:t>
            </w:r>
            <w:r w:rsidRPr="00140151">
              <w:rPr>
                <w:rFonts w:ascii="Open Sans" w:hAnsi="Open Sans" w:cs="Open Sans"/>
              </w:rPr>
              <w:t xml:space="preserve"> “on ramp” is somewhat unclear</w:t>
            </w:r>
            <w:r w:rsidR="00A50C63" w:rsidRPr="00140151">
              <w:rPr>
                <w:rFonts w:ascii="Open Sans" w:hAnsi="Open Sans" w:cs="Open Sans"/>
              </w:rPr>
              <w:t xml:space="preserve"> in the document itself. This has been clarified on ONC informational calls as a conceptual metaphor, rather than an actual process. </w:t>
            </w:r>
            <w:r w:rsidR="00B339EA">
              <w:rPr>
                <w:rFonts w:ascii="Open Sans" w:hAnsi="Open Sans" w:cs="Open Sans"/>
              </w:rPr>
              <w:t>We ask that</w:t>
            </w:r>
            <w:r w:rsidR="00A50C63" w:rsidRPr="00140151">
              <w:rPr>
                <w:rFonts w:ascii="Open Sans" w:hAnsi="Open Sans" w:cs="Open Sans"/>
              </w:rPr>
              <w:t xml:space="preserve"> </w:t>
            </w:r>
            <w:r w:rsidR="00B339EA" w:rsidRPr="00140151">
              <w:rPr>
                <w:rFonts w:ascii="Open Sans" w:hAnsi="Open Sans" w:cs="Open Sans"/>
              </w:rPr>
              <w:t xml:space="preserve">the document </w:t>
            </w:r>
            <w:r w:rsidR="00A50C63" w:rsidRPr="00140151">
              <w:rPr>
                <w:rFonts w:ascii="Open Sans" w:hAnsi="Open Sans" w:cs="Open Sans"/>
              </w:rPr>
              <w:t>reflect these clarifications.</w:t>
            </w:r>
            <w:r w:rsidRPr="00140151">
              <w:rPr>
                <w:rFonts w:ascii="Open Sans" w:hAnsi="Open Sans" w:cs="Open Sans"/>
              </w:rPr>
              <w:t xml:space="preserve">  </w:t>
            </w:r>
          </w:p>
        </w:tc>
      </w:tr>
      <w:tr w:rsidR="00A41306" w14:paraId="12C48EB2" w14:textId="77777777" w:rsidTr="005B573E">
        <w:trPr>
          <w:cantSplit/>
        </w:trPr>
        <w:tc>
          <w:tcPr>
            <w:tcW w:w="1345" w:type="dxa"/>
          </w:tcPr>
          <w:p w14:paraId="497EF5E1" w14:textId="77777777" w:rsidR="00A41306" w:rsidRPr="00140151" w:rsidRDefault="003428B7" w:rsidP="00A74290">
            <w:pPr>
              <w:rPr>
                <w:rFonts w:ascii="Open Sans" w:hAnsi="Open Sans" w:cs="Open Sans"/>
              </w:rPr>
            </w:pPr>
            <w:r w:rsidRPr="00140151">
              <w:rPr>
                <w:rFonts w:ascii="Open Sans" w:hAnsi="Open Sans" w:cs="Open Sans"/>
              </w:rPr>
              <w:t>p. 7, second paragraph</w:t>
            </w:r>
          </w:p>
        </w:tc>
        <w:tc>
          <w:tcPr>
            <w:tcW w:w="4050" w:type="dxa"/>
          </w:tcPr>
          <w:p w14:paraId="26AB8265" w14:textId="77777777" w:rsidR="00A41306" w:rsidRPr="00140151" w:rsidRDefault="00C7121F" w:rsidP="00CA687C">
            <w:pPr>
              <w:rPr>
                <w:rFonts w:ascii="Open Sans" w:hAnsi="Open Sans" w:cs="Open Sans"/>
              </w:rPr>
            </w:pPr>
            <w:r w:rsidRPr="00140151">
              <w:rPr>
                <w:rFonts w:ascii="Open Sans" w:hAnsi="Open Sans" w:cs="Open Sans"/>
              </w:rPr>
              <w:t>…the proposed Trusted Exchange Framework supports four important outcomes: 1) providers can access health information about their patients, regardless of where the patient received care; 2) patients can access their health information electronically without any special effort; 3) providers and payer organizations accountable for managing benefits and the health of populations can receive necessary and appropriate information on a group of individuals without having to access one record at a time (Population Level Data),17 which would allow them to analyze population health trends, outcomes, and costs; identify at-risk populations; and track progress on quality improvement initiatives; and 4) the health IT community has open and accessible application programming interfaces (APIs) to encourage entrepreneurial, user-focused innovation to make health information more accessible and to improve electronic health record (EHR) usability.</w:t>
            </w:r>
          </w:p>
        </w:tc>
        <w:tc>
          <w:tcPr>
            <w:tcW w:w="4140" w:type="dxa"/>
          </w:tcPr>
          <w:p w14:paraId="1CB62560" w14:textId="5B22F963" w:rsidR="00A41306" w:rsidRPr="00140151" w:rsidRDefault="003428B7" w:rsidP="0045568C">
            <w:pPr>
              <w:autoSpaceDE w:val="0"/>
              <w:autoSpaceDN w:val="0"/>
              <w:adjustRightInd w:val="0"/>
              <w:rPr>
                <w:rFonts w:ascii="Open Sans" w:hAnsi="Open Sans" w:cs="Open Sans"/>
                <w:bCs/>
                <w:color w:val="000000" w:themeColor="text1"/>
              </w:rPr>
            </w:pPr>
            <w:r w:rsidRPr="00140151">
              <w:rPr>
                <w:rFonts w:ascii="Open Sans" w:hAnsi="Open Sans" w:cs="Open Sans"/>
              </w:rPr>
              <w:t xml:space="preserve">While the </w:t>
            </w:r>
            <w:r w:rsidR="003E78B7" w:rsidRPr="00140151">
              <w:rPr>
                <w:rFonts w:ascii="Open Sans" w:hAnsi="Open Sans" w:cs="Open Sans"/>
              </w:rPr>
              <w:t xml:space="preserve">four key </w:t>
            </w:r>
            <w:r w:rsidRPr="00140151">
              <w:rPr>
                <w:rFonts w:ascii="Open Sans" w:hAnsi="Open Sans" w:cs="Open Sans"/>
              </w:rPr>
              <w:t>outcomes listed do not exclude public health, they do not explicitly mention public health or public health goals either.</w:t>
            </w:r>
            <w:r w:rsidR="00927E83">
              <w:rPr>
                <w:rFonts w:ascii="Open Sans" w:hAnsi="Open Sans" w:cs="Open Sans"/>
              </w:rPr>
              <w:t xml:space="preserve"> We would </w:t>
            </w:r>
            <w:r w:rsidR="00300384">
              <w:rPr>
                <w:rFonts w:ascii="Open Sans" w:hAnsi="Open Sans" w:cs="Open Sans"/>
              </w:rPr>
              <w:t xml:space="preserve">like to see public health called out alongside providers and payer organizations under outcome #3 as an entity accountable for managing the health of populations, and ideally, also alongside providers under outcome #1 as an entity needing access to health information about patients/individuals, regardless of where the patient or individual received care. </w:t>
            </w:r>
          </w:p>
        </w:tc>
      </w:tr>
      <w:tr w:rsidR="00570F30" w14:paraId="170E7757" w14:textId="77777777" w:rsidTr="005B573E">
        <w:trPr>
          <w:cantSplit/>
        </w:trPr>
        <w:tc>
          <w:tcPr>
            <w:tcW w:w="1345" w:type="dxa"/>
          </w:tcPr>
          <w:p w14:paraId="19A30CB2" w14:textId="77777777" w:rsidR="00570F30" w:rsidRPr="00140151" w:rsidRDefault="00570F30" w:rsidP="00A74290">
            <w:pPr>
              <w:rPr>
                <w:rFonts w:ascii="Open Sans" w:hAnsi="Open Sans" w:cs="Open Sans"/>
              </w:rPr>
            </w:pPr>
            <w:r w:rsidRPr="00140151">
              <w:rPr>
                <w:rFonts w:ascii="Open Sans" w:hAnsi="Open Sans" w:cs="Open Sans"/>
              </w:rPr>
              <w:lastRenderedPageBreak/>
              <w:t>p. 14</w:t>
            </w:r>
          </w:p>
        </w:tc>
        <w:tc>
          <w:tcPr>
            <w:tcW w:w="4050" w:type="dxa"/>
          </w:tcPr>
          <w:p w14:paraId="1F2ACDD3" w14:textId="77777777" w:rsidR="00570F30" w:rsidRPr="000017A2" w:rsidRDefault="000017A2" w:rsidP="00570F30">
            <w:pPr>
              <w:textAlignment w:val="center"/>
              <w:rPr>
                <w:rFonts w:ascii="Open Sans" w:hAnsi="Open Sans" w:cs="Open Sans"/>
              </w:rPr>
            </w:pPr>
            <w:r w:rsidRPr="000017A2">
              <w:rPr>
                <w:rFonts w:ascii="Open Sans" w:hAnsi="Open Sans" w:cs="Open Sans"/>
              </w:rPr>
              <w:t>Adhere to standards for Electronic Health Information and interoperability that have been adopted by the Secretary of the U.S. Department of Health &amp; Human Services (HHS) or identified by ONC in the Interoperability Standards Advisory (ISA).</w:t>
            </w:r>
          </w:p>
        </w:tc>
        <w:tc>
          <w:tcPr>
            <w:tcW w:w="4140" w:type="dxa"/>
          </w:tcPr>
          <w:p w14:paraId="4826E43B" w14:textId="77777777" w:rsidR="00570F30" w:rsidRPr="00140151" w:rsidRDefault="00A258D4" w:rsidP="008E6218">
            <w:pPr>
              <w:textAlignment w:val="center"/>
              <w:rPr>
                <w:rFonts w:ascii="Open Sans" w:hAnsi="Open Sans" w:cs="Open Sans"/>
              </w:rPr>
            </w:pPr>
            <w:r w:rsidRPr="00140151">
              <w:rPr>
                <w:rFonts w:ascii="Open Sans" w:hAnsi="Open Sans" w:cs="Open Sans"/>
              </w:rPr>
              <w:t>As written, p</w:t>
            </w:r>
            <w:r w:rsidR="00570F30" w:rsidRPr="00140151">
              <w:rPr>
                <w:rFonts w:ascii="Open Sans" w:hAnsi="Open Sans" w:cs="Open Sans"/>
              </w:rPr>
              <w:t>rincipal 1.A indicates support for things in the ISA or 2015 certification - which includes the</w:t>
            </w:r>
            <w:r w:rsidRPr="00140151">
              <w:rPr>
                <w:rFonts w:ascii="Open Sans" w:hAnsi="Open Sans" w:cs="Open Sans"/>
              </w:rPr>
              <w:t xml:space="preserve"> HL7</w:t>
            </w:r>
            <w:r w:rsidR="00570F30" w:rsidRPr="00140151">
              <w:rPr>
                <w:rFonts w:ascii="Open Sans" w:hAnsi="Open Sans" w:cs="Open Sans"/>
              </w:rPr>
              <w:t xml:space="preserve"> V2 IG</w:t>
            </w:r>
            <w:r w:rsidRPr="00140151">
              <w:rPr>
                <w:rFonts w:ascii="Open Sans" w:hAnsi="Open Sans" w:cs="Open Sans"/>
              </w:rPr>
              <w:t>, the standard broadly implemented across the EHR and IIS/Immunization community</w:t>
            </w:r>
            <w:r w:rsidR="00570F30" w:rsidRPr="00140151">
              <w:rPr>
                <w:rFonts w:ascii="Open Sans" w:hAnsi="Open Sans" w:cs="Open Sans"/>
              </w:rPr>
              <w:t>. It's not clear if this would apply just to inter-QHIN exchanges (where other alternatives like C-CDA or FHIR might be available for immunization data) or if it also applies to intra-QHIN exchanges were data is collected from individual sources (EHRs or IISs) which may be the bigger impact to EHR/IIS</w:t>
            </w:r>
            <w:r w:rsidRPr="00140151">
              <w:rPr>
                <w:rFonts w:ascii="Open Sans" w:hAnsi="Open Sans" w:cs="Open Sans"/>
              </w:rPr>
              <w:t>.</w:t>
            </w:r>
            <w:r w:rsidR="000017A2" w:rsidRPr="00140151">
              <w:rPr>
                <w:rFonts w:ascii="Open Sans" w:hAnsi="Open Sans" w:cs="Open Sans"/>
              </w:rPr>
              <w:t xml:space="preserve"> The text explaining this principle </w:t>
            </w:r>
            <w:r w:rsidR="000017A2">
              <w:rPr>
                <w:rFonts w:ascii="Open Sans" w:hAnsi="Open Sans" w:cs="Open Sans"/>
              </w:rPr>
              <w:t>may not be fully</w:t>
            </w:r>
            <w:r w:rsidR="000017A2" w:rsidRPr="00140151">
              <w:rPr>
                <w:rFonts w:ascii="Open Sans" w:hAnsi="Open Sans" w:cs="Open Sans"/>
              </w:rPr>
              <w:t xml:space="preserve"> sensitive to public health’s needs or perspective</w:t>
            </w:r>
            <w:r w:rsidR="0015774D">
              <w:rPr>
                <w:rFonts w:ascii="Open Sans" w:hAnsi="Open Sans" w:cs="Open Sans"/>
              </w:rPr>
              <w:t>, as it</w:t>
            </w:r>
            <w:r w:rsidR="000017A2" w:rsidRPr="00140151">
              <w:rPr>
                <w:rFonts w:ascii="Open Sans" w:hAnsi="Open Sans" w:cs="Open Sans"/>
              </w:rPr>
              <w:t xml:space="preserve"> is focused </w:t>
            </w:r>
            <w:r w:rsidR="0015774D">
              <w:rPr>
                <w:rFonts w:ascii="Open Sans" w:hAnsi="Open Sans" w:cs="Open Sans"/>
              </w:rPr>
              <w:t>more heavily</w:t>
            </w:r>
            <w:r w:rsidR="000017A2" w:rsidRPr="00140151">
              <w:rPr>
                <w:rFonts w:ascii="Open Sans" w:hAnsi="Open Sans" w:cs="Open Sans"/>
              </w:rPr>
              <w:t xml:space="preserve"> on CEHRT.</w:t>
            </w:r>
          </w:p>
        </w:tc>
      </w:tr>
      <w:tr w:rsidR="00A022EE" w14:paraId="55B1CC36" w14:textId="77777777" w:rsidTr="005B573E">
        <w:trPr>
          <w:cantSplit/>
        </w:trPr>
        <w:tc>
          <w:tcPr>
            <w:tcW w:w="1345" w:type="dxa"/>
          </w:tcPr>
          <w:p w14:paraId="2104F829" w14:textId="77777777" w:rsidR="00A022EE" w:rsidRPr="00140151" w:rsidRDefault="003428B7" w:rsidP="00675CCC">
            <w:pPr>
              <w:rPr>
                <w:rFonts w:ascii="Open Sans" w:hAnsi="Open Sans" w:cs="Open Sans"/>
              </w:rPr>
            </w:pPr>
            <w:r w:rsidRPr="00140151">
              <w:rPr>
                <w:rFonts w:ascii="Open Sans" w:hAnsi="Open Sans" w:cs="Open Sans"/>
              </w:rPr>
              <w:t>p. 18, Sub-principle 3A</w:t>
            </w:r>
          </w:p>
        </w:tc>
        <w:tc>
          <w:tcPr>
            <w:tcW w:w="4050" w:type="dxa"/>
          </w:tcPr>
          <w:p w14:paraId="56B0EF2C" w14:textId="77777777" w:rsidR="00A022EE" w:rsidRPr="00140151" w:rsidRDefault="0015774D" w:rsidP="00E80759">
            <w:pPr>
              <w:rPr>
                <w:rFonts w:ascii="Open Sans" w:hAnsi="Open Sans" w:cs="Open Sans"/>
                <w:color w:val="000000" w:themeColor="text1"/>
              </w:rPr>
            </w:pPr>
            <w:r>
              <w:rPr>
                <w:rFonts w:ascii="Open Sans" w:hAnsi="Open Sans" w:cs="Open Sans"/>
                <w:color w:val="000000" w:themeColor="text1"/>
              </w:rPr>
              <w:t>Qualified HINs…</w:t>
            </w:r>
            <w:r>
              <w:t xml:space="preserve"> should not use contract provisions or proprietary technology implementations to unduly limit connectivity with other Qualified HINs, such as…</w:t>
            </w:r>
          </w:p>
        </w:tc>
        <w:tc>
          <w:tcPr>
            <w:tcW w:w="4140" w:type="dxa"/>
          </w:tcPr>
          <w:p w14:paraId="5CD44040" w14:textId="77777777" w:rsidR="00E80759" w:rsidRPr="00140151" w:rsidRDefault="003428B7" w:rsidP="00E80759">
            <w:pPr>
              <w:autoSpaceDE w:val="0"/>
              <w:autoSpaceDN w:val="0"/>
              <w:adjustRightInd w:val="0"/>
              <w:rPr>
                <w:rFonts w:ascii="Open Sans" w:hAnsi="Open Sans" w:cs="Open Sans"/>
                <w:bCs/>
                <w:color w:val="000000" w:themeColor="text1"/>
              </w:rPr>
            </w:pPr>
            <w:r w:rsidRPr="00140151">
              <w:rPr>
                <w:rFonts w:ascii="Open Sans" w:hAnsi="Open Sans" w:cs="Open Sans"/>
              </w:rPr>
              <w:t xml:space="preserve">While we agree that information blocking is a bad thing, this section may imply that HINs need to invest </w:t>
            </w:r>
            <w:r w:rsidRPr="00140151">
              <w:rPr>
                <w:rFonts w:ascii="Open Sans" w:hAnsi="Open Sans" w:cs="Open Sans"/>
                <w:i/>
              </w:rPr>
              <w:t>equally</w:t>
            </w:r>
            <w:r w:rsidRPr="00140151">
              <w:rPr>
                <w:rFonts w:ascii="Open Sans" w:hAnsi="Open Sans" w:cs="Open Sans"/>
              </w:rPr>
              <w:t xml:space="preserve"> in strategies that support interoperability within outside networks as they do within their “preferred networks.” Is this the intent of this section?</w:t>
            </w:r>
          </w:p>
        </w:tc>
      </w:tr>
      <w:tr w:rsidR="003428B7" w14:paraId="4A76AF0D" w14:textId="77777777" w:rsidTr="005B573E">
        <w:trPr>
          <w:cantSplit/>
        </w:trPr>
        <w:tc>
          <w:tcPr>
            <w:tcW w:w="1345" w:type="dxa"/>
          </w:tcPr>
          <w:p w14:paraId="20F42237" w14:textId="77777777" w:rsidR="003428B7" w:rsidRPr="00140151" w:rsidRDefault="003428B7" w:rsidP="00675CCC">
            <w:pPr>
              <w:rPr>
                <w:rFonts w:ascii="Open Sans" w:hAnsi="Open Sans" w:cs="Open Sans"/>
              </w:rPr>
            </w:pPr>
            <w:r w:rsidRPr="00140151">
              <w:rPr>
                <w:rFonts w:ascii="Open Sans" w:hAnsi="Open Sans" w:cs="Open Sans"/>
              </w:rPr>
              <w:t>p. 20</w:t>
            </w:r>
          </w:p>
        </w:tc>
        <w:tc>
          <w:tcPr>
            <w:tcW w:w="4050" w:type="dxa"/>
          </w:tcPr>
          <w:p w14:paraId="50D14F5A" w14:textId="77777777" w:rsidR="003428B7" w:rsidRPr="00140151" w:rsidRDefault="003428B7" w:rsidP="00E80759">
            <w:pPr>
              <w:rPr>
                <w:rFonts w:ascii="Open Sans" w:hAnsi="Open Sans" w:cs="Open Sans"/>
                <w:color w:val="000000" w:themeColor="text1"/>
              </w:rPr>
            </w:pPr>
            <w:r w:rsidRPr="00140151">
              <w:rPr>
                <w:rFonts w:ascii="Open Sans" w:hAnsi="Open Sans" w:cs="Open Sans"/>
              </w:rPr>
              <w:t>Patient withdrawal from participation in a Qualified HIN</w:t>
            </w:r>
          </w:p>
        </w:tc>
        <w:tc>
          <w:tcPr>
            <w:tcW w:w="4140" w:type="dxa"/>
          </w:tcPr>
          <w:p w14:paraId="08DE1274" w14:textId="77777777" w:rsidR="003428B7" w:rsidRPr="00140151" w:rsidRDefault="00A258D4" w:rsidP="00E80759">
            <w:pPr>
              <w:autoSpaceDE w:val="0"/>
              <w:autoSpaceDN w:val="0"/>
              <w:adjustRightInd w:val="0"/>
              <w:rPr>
                <w:rFonts w:ascii="Open Sans" w:hAnsi="Open Sans" w:cs="Open Sans"/>
              </w:rPr>
            </w:pPr>
            <w:r w:rsidRPr="00140151">
              <w:rPr>
                <w:rFonts w:ascii="Open Sans" w:hAnsi="Open Sans" w:cs="Open Sans"/>
              </w:rPr>
              <w:t>It is important to n</w:t>
            </w:r>
            <w:r w:rsidR="003428B7" w:rsidRPr="00140151">
              <w:rPr>
                <w:rFonts w:ascii="Open Sans" w:hAnsi="Open Sans" w:cs="Open Sans"/>
              </w:rPr>
              <w:t xml:space="preserve">ote that in some jurisdictions, certain types of patients </w:t>
            </w:r>
            <w:r w:rsidR="003428B7" w:rsidRPr="00140151">
              <w:rPr>
                <w:rFonts w:ascii="Open Sans" w:hAnsi="Open Sans" w:cs="Open Sans"/>
                <w:i/>
              </w:rPr>
              <w:t>cannot</w:t>
            </w:r>
            <w:r w:rsidR="003428B7" w:rsidRPr="00140151">
              <w:rPr>
                <w:rFonts w:ascii="Open Sans" w:hAnsi="Open Sans" w:cs="Open Sans"/>
              </w:rPr>
              <w:t xml:space="preserve"> opt-out of inclusion in certain public health registries. If the Qualified HIN is a party to the </w:t>
            </w:r>
            <w:proofErr w:type="gramStart"/>
            <w:r w:rsidR="003428B7" w:rsidRPr="00140151">
              <w:rPr>
                <w:rFonts w:ascii="Open Sans" w:hAnsi="Open Sans" w:cs="Open Sans"/>
              </w:rPr>
              <w:t>transaction</w:t>
            </w:r>
            <w:proofErr w:type="gramEnd"/>
            <w:r w:rsidR="003428B7" w:rsidRPr="00140151">
              <w:rPr>
                <w:rFonts w:ascii="Open Sans" w:hAnsi="Open Sans" w:cs="Open Sans"/>
              </w:rPr>
              <w:t xml:space="preserve"> then this policy would not apply</w:t>
            </w:r>
            <w:r w:rsidRPr="00140151">
              <w:rPr>
                <w:rFonts w:ascii="Open Sans" w:hAnsi="Open Sans" w:cs="Open Sans"/>
              </w:rPr>
              <w:t>. This overlaps with earlier comments regarding the capture and perpetuation of consent throughout the exchange network.</w:t>
            </w:r>
          </w:p>
        </w:tc>
      </w:tr>
      <w:tr w:rsidR="006849F0" w14:paraId="0D927EB5" w14:textId="77777777" w:rsidTr="005B573E">
        <w:trPr>
          <w:cantSplit/>
        </w:trPr>
        <w:tc>
          <w:tcPr>
            <w:tcW w:w="1345" w:type="dxa"/>
          </w:tcPr>
          <w:p w14:paraId="4626676E" w14:textId="77777777" w:rsidR="006849F0" w:rsidRPr="00140151" w:rsidRDefault="006849F0" w:rsidP="00675CCC">
            <w:pPr>
              <w:rPr>
                <w:rFonts w:ascii="Open Sans" w:hAnsi="Open Sans" w:cs="Open Sans"/>
              </w:rPr>
            </w:pPr>
            <w:r w:rsidRPr="00140151">
              <w:rPr>
                <w:rFonts w:ascii="Open Sans" w:hAnsi="Open Sans" w:cs="Open Sans"/>
              </w:rPr>
              <w:lastRenderedPageBreak/>
              <w:t>p. 21</w:t>
            </w:r>
          </w:p>
        </w:tc>
        <w:tc>
          <w:tcPr>
            <w:tcW w:w="4050" w:type="dxa"/>
          </w:tcPr>
          <w:p w14:paraId="4A5ABB68" w14:textId="77777777" w:rsidR="006849F0" w:rsidRPr="00140151" w:rsidRDefault="0096513E" w:rsidP="00E80759">
            <w:pPr>
              <w:rPr>
                <w:rFonts w:ascii="Open Sans" w:hAnsi="Open Sans" w:cs="Open Sans"/>
              </w:rPr>
            </w:pPr>
            <w:r w:rsidRPr="00140151">
              <w:rPr>
                <w:rFonts w:ascii="Open Sans" w:hAnsi="Open Sans" w:cs="Open Sans"/>
              </w:rPr>
              <w:t>Supporting these types of use cases necessitates the ability to exchange multiple patient records at one time (i.e. population level or “bulk transfer”), rather than potentially performing hundreds of data pulls or pushes for a panel of patients. Qualified HINs should provide the ability for participants to both pull and push population level records in a single transaction.</w:t>
            </w:r>
          </w:p>
        </w:tc>
        <w:tc>
          <w:tcPr>
            <w:tcW w:w="4140" w:type="dxa"/>
          </w:tcPr>
          <w:p w14:paraId="15D45375" w14:textId="77777777" w:rsidR="006849F0" w:rsidRPr="00140151" w:rsidRDefault="0096513E" w:rsidP="00E80759">
            <w:pPr>
              <w:autoSpaceDE w:val="0"/>
              <w:autoSpaceDN w:val="0"/>
              <w:adjustRightInd w:val="0"/>
              <w:rPr>
                <w:rFonts w:ascii="Open Sans" w:hAnsi="Open Sans" w:cs="Open Sans"/>
              </w:rPr>
            </w:pPr>
            <w:r w:rsidRPr="00140151">
              <w:rPr>
                <w:rFonts w:ascii="Open Sans" w:hAnsi="Open Sans" w:cs="Open Sans"/>
                <w:color w:val="000000"/>
              </w:rPr>
              <w:t>The IIS community does not have a standard for this today. Historically this hasn't been needed, but it's something IIS could support with a proper standard and desire.</w:t>
            </w:r>
          </w:p>
        </w:tc>
      </w:tr>
      <w:tr w:rsidR="003428B7" w14:paraId="14016126" w14:textId="77777777" w:rsidTr="005B573E">
        <w:trPr>
          <w:cantSplit/>
        </w:trPr>
        <w:tc>
          <w:tcPr>
            <w:tcW w:w="1345" w:type="dxa"/>
          </w:tcPr>
          <w:p w14:paraId="48139901" w14:textId="77777777" w:rsidR="003428B7" w:rsidRPr="00140151" w:rsidRDefault="003428B7" w:rsidP="00675CCC">
            <w:pPr>
              <w:rPr>
                <w:rFonts w:ascii="Open Sans" w:hAnsi="Open Sans" w:cs="Open Sans"/>
              </w:rPr>
            </w:pPr>
            <w:r w:rsidRPr="00140151">
              <w:rPr>
                <w:rFonts w:ascii="Open Sans" w:hAnsi="Open Sans" w:cs="Open Sans"/>
              </w:rPr>
              <w:t>p. 25</w:t>
            </w:r>
          </w:p>
        </w:tc>
        <w:tc>
          <w:tcPr>
            <w:tcW w:w="4050" w:type="dxa"/>
          </w:tcPr>
          <w:p w14:paraId="32E19E7F" w14:textId="77777777" w:rsidR="003428B7" w:rsidRPr="00140151" w:rsidRDefault="003428B7" w:rsidP="00E80759">
            <w:pPr>
              <w:rPr>
                <w:rFonts w:ascii="Open Sans" w:hAnsi="Open Sans" w:cs="Open Sans"/>
                <w:color w:val="000000" w:themeColor="text1"/>
              </w:rPr>
            </w:pPr>
            <w:r w:rsidRPr="00140151">
              <w:rPr>
                <w:rFonts w:ascii="Open Sans" w:hAnsi="Open Sans" w:cs="Open Sans"/>
              </w:rPr>
              <w:t>Directed Query</w:t>
            </w:r>
          </w:p>
        </w:tc>
        <w:tc>
          <w:tcPr>
            <w:tcW w:w="4140" w:type="dxa"/>
          </w:tcPr>
          <w:p w14:paraId="148A2D87" w14:textId="77777777" w:rsidR="003428B7" w:rsidRPr="00140151" w:rsidRDefault="003428B7" w:rsidP="00E80759">
            <w:pPr>
              <w:autoSpaceDE w:val="0"/>
              <w:autoSpaceDN w:val="0"/>
              <w:adjustRightInd w:val="0"/>
              <w:rPr>
                <w:rFonts w:ascii="Open Sans" w:hAnsi="Open Sans" w:cs="Open Sans"/>
              </w:rPr>
            </w:pPr>
            <w:r w:rsidRPr="00140151">
              <w:rPr>
                <w:rFonts w:ascii="Open Sans" w:hAnsi="Open Sans" w:cs="Open Sans"/>
              </w:rPr>
              <w:t>This term may be confused with the Direct Protocol which clearly is not what is intended. Perhaps “Targeted Query” would avoid this confusion.</w:t>
            </w:r>
          </w:p>
        </w:tc>
      </w:tr>
      <w:tr w:rsidR="003428B7" w14:paraId="7F25ED79" w14:textId="77777777" w:rsidTr="005B573E">
        <w:trPr>
          <w:cantSplit/>
        </w:trPr>
        <w:tc>
          <w:tcPr>
            <w:tcW w:w="1345" w:type="dxa"/>
          </w:tcPr>
          <w:p w14:paraId="13F89EC3" w14:textId="77777777" w:rsidR="003428B7" w:rsidRPr="00140151" w:rsidRDefault="003428B7" w:rsidP="00675CCC">
            <w:pPr>
              <w:rPr>
                <w:rFonts w:ascii="Open Sans" w:hAnsi="Open Sans" w:cs="Open Sans"/>
              </w:rPr>
            </w:pPr>
            <w:r w:rsidRPr="00140151">
              <w:rPr>
                <w:rFonts w:ascii="Open Sans" w:hAnsi="Open Sans" w:cs="Open Sans"/>
              </w:rPr>
              <w:t>p. 28</w:t>
            </w:r>
          </w:p>
        </w:tc>
        <w:tc>
          <w:tcPr>
            <w:tcW w:w="4050" w:type="dxa"/>
          </w:tcPr>
          <w:p w14:paraId="43EF5BE8" w14:textId="77777777" w:rsidR="003428B7" w:rsidRPr="00140151" w:rsidRDefault="003428B7" w:rsidP="00E80759">
            <w:pPr>
              <w:rPr>
                <w:rFonts w:ascii="Open Sans" w:hAnsi="Open Sans" w:cs="Open Sans"/>
                <w:color w:val="000000" w:themeColor="text1"/>
              </w:rPr>
            </w:pPr>
            <w:r w:rsidRPr="00140151">
              <w:rPr>
                <w:rFonts w:ascii="Open Sans" w:hAnsi="Open Sans" w:cs="Open Sans"/>
              </w:rPr>
              <w:t>Qualified HIN</w:t>
            </w:r>
          </w:p>
        </w:tc>
        <w:tc>
          <w:tcPr>
            <w:tcW w:w="4140" w:type="dxa"/>
          </w:tcPr>
          <w:p w14:paraId="50A5AE8B" w14:textId="77777777" w:rsidR="003428B7" w:rsidRPr="00140151" w:rsidRDefault="003428B7" w:rsidP="00E80759">
            <w:pPr>
              <w:autoSpaceDE w:val="0"/>
              <w:autoSpaceDN w:val="0"/>
              <w:adjustRightInd w:val="0"/>
              <w:rPr>
                <w:rFonts w:ascii="Open Sans" w:hAnsi="Open Sans" w:cs="Open Sans"/>
              </w:rPr>
            </w:pPr>
            <w:r w:rsidRPr="00140151">
              <w:rPr>
                <w:rFonts w:ascii="Open Sans" w:hAnsi="Open Sans" w:cs="Open Sans"/>
              </w:rPr>
              <w:t>This definition states that, “none of the exchanges of EHI by or on behalf of the Qualified HIN include the Qualified HIN itself….” This may be problematic for some HINs such as those that support large vertical networks (like Kaiser).</w:t>
            </w:r>
          </w:p>
        </w:tc>
      </w:tr>
      <w:tr w:rsidR="003428B7" w14:paraId="1B8BD5CD" w14:textId="77777777" w:rsidTr="005B573E">
        <w:trPr>
          <w:cantSplit/>
        </w:trPr>
        <w:tc>
          <w:tcPr>
            <w:tcW w:w="1345" w:type="dxa"/>
          </w:tcPr>
          <w:p w14:paraId="6D143922" w14:textId="77777777" w:rsidR="003428B7" w:rsidRPr="00140151" w:rsidRDefault="003428B7" w:rsidP="00675CCC">
            <w:pPr>
              <w:rPr>
                <w:rFonts w:ascii="Open Sans" w:hAnsi="Open Sans" w:cs="Open Sans"/>
              </w:rPr>
            </w:pPr>
            <w:r w:rsidRPr="00140151">
              <w:rPr>
                <w:rFonts w:ascii="Open Sans" w:hAnsi="Open Sans" w:cs="Open Sans"/>
              </w:rPr>
              <w:lastRenderedPageBreak/>
              <w:t>p. 30, 2.4</w:t>
            </w:r>
          </w:p>
        </w:tc>
        <w:tc>
          <w:tcPr>
            <w:tcW w:w="4050" w:type="dxa"/>
          </w:tcPr>
          <w:p w14:paraId="3BE0C90F" w14:textId="77777777" w:rsidR="003428B7" w:rsidRPr="00140151" w:rsidRDefault="0015774D" w:rsidP="00E80759">
            <w:pPr>
              <w:rPr>
                <w:rFonts w:ascii="Open Sans" w:hAnsi="Open Sans" w:cs="Open Sans"/>
                <w:color w:val="000000" w:themeColor="text1"/>
              </w:rPr>
            </w:pPr>
            <w:r w:rsidRPr="0015774D">
              <w:rPr>
                <w:rFonts w:ascii="Open Sans" w:hAnsi="Open Sans" w:cs="Open Sans"/>
              </w:rPr>
              <w:t>Each Qualified HIN shall implement the APIs necessary to perform its obligations hereunder within twelve (12) months of the date of the API Implementation Guide being formally adopted by HL7 on its public website and recognized by ONC on its public website.</w:t>
            </w:r>
            <w:r>
              <w:t xml:space="preserve"> </w:t>
            </w:r>
          </w:p>
        </w:tc>
        <w:tc>
          <w:tcPr>
            <w:tcW w:w="4140" w:type="dxa"/>
          </w:tcPr>
          <w:p w14:paraId="398E1A18" w14:textId="77777777" w:rsidR="003428B7" w:rsidRPr="00140151" w:rsidRDefault="003428B7" w:rsidP="00E80759">
            <w:pPr>
              <w:autoSpaceDE w:val="0"/>
              <w:autoSpaceDN w:val="0"/>
              <w:adjustRightInd w:val="0"/>
              <w:rPr>
                <w:rFonts w:ascii="Open Sans" w:hAnsi="Open Sans" w:cs="Open Sans"/>
              </w:rPr>
            </w:pPr>
            <w:r w:rsidRPr="00140151">
              <w:rPr>
                <w:rFonts w:ascii="Open Sans" w:hAnsi="Open Sans" w:cs="Open Sans"/>
              </w:rPr>
              <w:t xml:space="preserve">The requirement that a Qualified HIN implement APIs embedded in standards within 12 months of their publication seems somewhat unrealistic. The standards development process is ongoing, yet it takes longer for a set of systems fulfilling a </w:t>
            </w:r>
            <w:proofErr w:type="gramStart"/>
            <w:r w:rsidRPr="00140151">
              <w:rPr>
                <w:rFonts w:ascii="Open Sans" w:hAnsi="Open Sans" w:cs="Open Sans"/>
              </w:rPr>
              <w:t>particular use</w:t>
            </w:r>
            <w:proofErr w:type="gramEnd"/>
            <w:r w:rsidRPr="00140151">
              <w:rPr>
                <w:rFonts w:ascii="Open Sans" w:hAnsi="Open Sans" w:cs="Open Sans"/>
              </w:rPr>
              <w:t xml:space="preserve"> case to implement a particular version of a standard consistently and pervasively. For example, though the Immunization Information System community is still working to implement HL7 v2.5.1 messaging, HL7 has already balloted a v2.9 message. Organizations – including public health agencies – are unprepared to migrate to newer standards just because HL7 has published them. Even for C-CDA and FHIR standards, new (and sometimes conflicting) profiles are developed continuously and it may not be clear which one is appropriate to use.</w:t>
            </w:r>
          </w:p>
        </w:tc>
      </w:tr>
      <w:tr w:rsidR="00570F30" w14:paraId="0183ABC9" w14:textId="77777777" w:rsidTr="005B573E">
        <w:trPr>
          <w:cantSplit/>
        </w:trPr>
        <w:tc>
          <w:tcPr>
            <w:tcW w:w="1345" w:type="dxa"/>
          </w:tcPr>
          <w:p w14:paraId="5E95CD19" w14:textId="77777777" w:rsidR="00570F30" w:rsidRPr="00140151" w:rsidRDefault="00570F30" w:rsidP="00675CCC">
            <w:pPr>
              <w:rPr>
                <w:rFonts w:ascii="Open Sans" w:hAnsi="Open Sans" w:cs="Open Sans"/>
              </w:rPr>
            </w:pPr>
            <w:r w:rsidRPr="00140151">
              <w:rPr>
                <w:rFonts w:ascii="Open Sans" w:hAnsi="Open Sans" w:cs="Open Sans"/>
              </w:rPr>
              <w:t>p. 30, 2.3</w:t>
            </w:r>
          </w:p>
        </w:tc>
        <w:tc>
          <w:tcPr>
            <w:tcW w:w="4050" w:type="dxa"/>
          </w:tcPr>
          <w:p w14:paraId="369BB273" w14:textId="02EA288C" w:rsidR="00570F30" w:rsidRPr="00140151" w:rsidRDefault="00570F30" w:rsidP="00E80759">
            <w:pPr>
              <w:rPr>
                <w:rFonts w:ascii="Open Sans" w:hAnsi="Open Sans" w:cs="Open Sans"/>
                <w:color w:val="000000" w:themeColor="text1"/>
              </w:rPr>
            </w:pPr>
            <w:r w:rsidRPr="00140151">
              <w:rPr>
                <w:rFonts w:ascii="Open Sans" w:hAnsi="Open Sans" w:cs="Open Sans"/>
              </w:rPr>
              <w:t>Mandatory Updating of the USCDI. Each Qualified HIN shall update its data format and/or API to include new data classes (including, without limitation, specified clinical data fields) added to the USCDI within a reasonable time (not less than twelve (12) months) after the date of the data classes being officially added to the USCDI.</w:t>
            </w:r>
          </w:p>
        </w:tc>
        <w:tc>
          <w:tcPr>
            <w:tcW w:w="4140" w:type="dxa"/>
          </w:tcPr>
          <w:p w14:paraId="0E19B4C1" w14:textId="77777777" w:rsidR="00570F30" w:rsidRPr="00140151" w:rsidRDefault="00570F30" w:rsidP="00570F30">
            <w:pPr>
              <w:textAlignment w:val="center"/>
              <w:rPr>
                <w:rFonts w:ascii="Open Sans" w:hAnsi="Open Sans" w:cs="Open Sans"/>
              </w:rPr>
            </w:pPr>
            <w:r w:rsidRPr="00140151">
              <w:rPr>
                <w:rFonts w:ascii="Open Sans" w:hAnsi="Open Sans" w:cs="Open Sans"/>
              </w:rPr>
              <w:t>Should it be "not more than" rather than "not less than"</w:t>
            </w:r>
            <w:r w:rsidR="00F51D3A">
              <w:rPr>
                <w:rFonts w:ascii="Open Sans" w:hAnsi="Open Sans" w:cs="Open Sans"/>
              </w:rPr>
              <w:t>?</w:t>
            </w:r>
          </w:p>
          <w:p w14:paraId="0B3814D3" w14:textId="77777777" w:rsidR="00570F30" w:rsidRPr="00140151" w:rsidRDefault="00570F30" w:rsidP="00E80759">
            <w:pPr>
              <w:autoSpaceDE w:val="0"/>
              <w:autoSpaceDN w:val="0"/>
              <w:adjustRightInd w:val="0"/>
              <w:rPr>
                <w:rFonts w:ascii="Open Sans" w:hAnsi="Open Sans" w:cs="Open Sans"/>
              </w:rPr>
            </w:pPr>
          </w:p>
        </w:tc>
      </w:tr>
      <w:tr w:rsidR="0096513E" w14:paraId="2C87A3AC" w14:textId="77777777" w:rsidTr="005B573E">
        <w:trPr>
          <w:cantSplit/>
        </w:trPr>
        <w:tc>
          <w:tcPr>
            <w:tcW w:w="1345" w:type="dxa"/>
          </w:tcPr>
          <w:p w14:paraId="3361FC49" w14:textId="77777777" w:rsidR="0096513E" w:rsidRPr="00140151" w:rsidRDefault="0096513E" w:rsidP="00675CCC">
            <w:pPr>
              <w:rPr>
                <w:rFonts w:ascii="Open Sans" w:hAnsi="Open Sans" w:cs="Open Sans"/>
              </w:rPr>
            </w:pPr>
            <w:r w:rsidRPr="00140151">
              <w:rPr>
                <w:rFonts w:ascii="Open Sans" w:hAnsi="Open Sans" w:cs="Open Sans"/>
              </w:rPr>
              <w:lastRenderedPageBreak/>
              <w:t>p. 31, 2.7</w:t>
            </w:r>
          </w:p>
          <w:p w14:paraId="51185430" w14:textId="77777777" w:rsidR="0096513E" w:rsidRPr="00140151" w:rsidRDefault="0096513E" w:rsidP="00675CCC">
            <w:pPr>
              <w:rPr>
                <w:rFonts w:ascii="Open Sans" w:hAnsi="Open Sans" w:cs="Open Sans"/>
              </w:rPr>
            </w:pPr>
          </w:p>
        </w:tc>
        <w:tc>
          <w:tcPr>
            <w:tcW w:w="4050" w:type="dxa"/>
          </w:tcPr>
          <w:p w14:paraId="2D628859" w14:textId="77777777" w:rsidR="0096513E" w:rsidRPr="00140151" w:rsidRDefault="0096513E" w:rsidP="00570F30">
            <w:pPr>
              <w:textAlignment w:val="center"/>
              <w:rPr>
                <w:rFonts w:ascii="Open Sans" w:hAnsi="Open Sans" w:cs="Open Sans"/>
              </w:rPr>
            </w:pPr>
            <w:r w:rsidRPr="00140151">
              <w:rPr>
                <w:rFonts w:ascii="Open Sans" w:hAnsi="Open Sans" w:cs="Open Sans"/>
              </w:rPr>
              <w:t>Except as otherwise expressly provided herein, whenever this Agreement references any standard, implementation specification, or certification criteria to which a Qualified HIN or Participant must comply, the Qualified HIN or Participant shall not be required to comply with any updates to such standards, implementation specifications or certification criteria until twelve (12) months after such standard has been formally adopted by HHS or other applicable authority.</w:t>
            </w:r>
          </w:p>
        </w:tc>
        <w:tc>
          <w:tcPr>
            <w:tcW w:w="4140" w:type="dxa"/>
          </w:tcPr>
          <w:p w14:paraId="38158477" w14:textId="77777777" w:rsidR="0096513E" w:rsidRPr="00140151" w:rsidRDefault="0096513E" w:rsidP="00570F30">
            <w:pPr>
              <w:textAlignment w:val="center"/>
              <w:rPr>
                <w:rFonts w:ascii="Open Sans" w:hAnsi="Open Sans" w:cs="Open Sans"/>
              </w:rPr>
            </w:pPr>
            <w:r w:rsidRPr="00140151">
              <w:rPr>
                <w:rFonts w:ascii="Open Sans" w:hAnsi="Open Sans" w:cs="Open Sans"/>
                <w:color w:val="000000"/>
              </w:rPr>
              <w:t xml:space="preserve">This </w:t>
            </w:r>
            <w:r w:rsidR="00025DE1" w:rsidRPr="00140151">
              <w:rPr>
                <w:rFonts w:ascii="Open Sans" w:hAnsi="Open Sans" w:cs="Open Sans"/>
                <w:color w:val="000000"/>
              </w:rPr>
              <w:t>timeline would be extremely challenging</w:t>
            </w:r>
            <w:r w:rsidRPr="00140151">
              <w:rPr>
                <w:rFonts w:ascii="Open Sans" w:hAnsi="Open Sans" w:cs="Open Sans"/>
                <w:color w:val="000000"/>
              </w:rPr>
              <w:t xml:space="preserve"> for public health given funding cycles and contracts. </w:t>
            </w:r>
          </w:p>
        </w:tc>
      </w:tr>
      <w:tr w:rsidR="003428B7" w14:paraId="5DF36958" w14:textId="77777777" w:rsidTr="005B573E">
        <w:trPr>
          <w:cantSplit/>
        </w:trPr>
        <w:tc>
          <w:tcPr>
            <w:tcW w:w="1345" w:type="dxa"/>
          </w:tcPr>
          <w:p w14:paraId="6A9EBA2D" w14:textId="77777777" w:rsidR="003428B7" w:rsidRPr="00140151" w:rsidRDefault="003428B7" w:rsidP="00675CCC">
            <w:pPr>
              <w:rPr>
                <w:rFonts w:ascii="Open Sans" w:hAnsi="Open Sans" w:cs="Open Sans"/>
              </w:rPr>
            </w:pPr>
            <w:r w:rsidRPr="00140151">
              <w:rPr>
                <w:rFonts w:ascii="Open Sans" w:hAnsi="Open Sans" w:cs="Open Sans"/>
              </w:rPr>
              <w:t>p. 31, 3.1.1</w:t>
            </w:r>
          </w:p>
        </w:tc>
        <w:tc>
          <w:tcPr>
            <w:tcW w:w="4050" w:type="dxa"/>
          </w:tcPr>
          <w:p w14:paraId="66592F21" w14:textId="77777777" w:rsidR="003428B7" w:rsidRPr="0015774D" w:rsidRDefault="0015774D" w:rsidP="00E80759">
            <w:pPr>
              <w:rPr>
                <w:rFonts w:ascii="Open Sans" w:hAnsi="Open Sans" w:cs="Open Sans"/>
              </w:rPr>
            </w:pPr>
            <w:r w:rsidRPr="0015774D">
              <w:rPr>
                <w:rFonts w:ascii="Open Sans" w:hAnsi="Open Sans" w:cs="Open Sans"/>
              </w:rPr>
              <w:t xml:space="preserve">The Broker shall send and receive </w:t>
            </w:r>
            <w:proofErr w:type="gramStart"/>
            <w:r w:rsidRPr="0015774D">
              <w:rPr>
                <w:rFonts w:ascii="Open Sans" w:hAnsi="Open Sans" w:cs="Open Sans"/>
              </w:rPr>
              <w:t>all of</w:t>
            </w:r>
            <w:proofErr w:type="gramEnd"/>
            <w:r w:rsidRPr="0015774D">
              <w:rPr>
                <w:rFonts w:ascii="Open Sans" w:hAnsi="Open Sans" w:cs="Open Sans"/>
              </w:rPr>
              <w:t xml:space="preserve"> the EHI in the data classes included in the then Current USCDI when and to the extent such EHI is requested and electronically available within or through the Qualified HIN’s Health Information Network.</w:t>
            </w:r>
          </w:p>
        </w:tc>
        <w:tc>
          <w:tcPr>
            <w:tcW w:w="4140" w:type="dxa"/>
          </w:tcPr>
          <w:p w14:paraId="0671FC94" w14:textId="77777777" w:rsidR="003428B7" w:rsidRPr="00140151" w:rsidRDefault="003428B7" w:rsidP="00E80759">
            <w:pPr>
              <w:autoSpaceDE w:val="0"/>
              <w:autoSpaceDN w:val="0"/>
              <w:adjustRightInd w:val="0"/>
              <w:rPr>
                <w:rFonts w:ascii="Open Sans" w:hAnsi="Open Sans" w:cs="Open Sans"/>
              </w:rPr>
            </w:pPr>
            <w:r w:rsidRPr="00140151">
              <w:rPr>
                <w:rFonts w:ascii="Open Sans" w:hAnsi="Open Sans" w:cs="Open Sans"/>
              </w:rPr>
              <w:t>It is unclear how the HIPAA notion of “minimum necessary” applies to the requirement for transmitting USCDI.</w:t>
            </w:r>
          </w:p>
        </w:tc>
      </w:tr>
      <w:tr w:rsidR="0096513E" w14:paraId="4A5A0B45" w14:textId="77777777" w:rsidTr="005B573E">
        <w:trPr>
          <w:cantSplit/>
        </w:trPr>
        <w:tc>
          <w:tcPr>
            <w:tcW w:w="1345" w:type="dxa"/>
          </w:tcPr>
          <w:p w14:paraId="5E1D3BEB" w14:textId="77777777" w:rsidR="0096513E" w:rsidRPr="00140151" w:rsidRDefault="0096513E" w:rsidP="00675CCC">
            <w:pPr>
              <w:rPr>
                <w:rFonts w:ascii="Open Sans" w:hAnsi="Open Sans" w:cs="Open Sans"/>
              </w:rPr>
            </w:pPr>
            <w:r w:rsidRPr="00140151">
              <w:rPr>
                <w:rFonts w:ascii="Open Sans" w:hAnsi="Open Sans" w:cs="Open Sans"/>
              </w:rPr>
              <w:t>p. 31, 3.1.1</w:t>
            </w:r>
          </w:p>
        </w:tc>
        <w:tc>
          <w:tcPr>
            <w:tcW w:w="4050" w:type="dxa"/>
          </w:tcPr>
          <w:p w14:paraId="2290963E" w14:textId="77777777" w:rsidR="0096513E" w:rsidRPr="00140151" w:rsidRDefault="0096513E" w:rsidP="00E80759">
            <w:pPr>
              <w:rPr>
                <w:rFonts w:ascii="Open Sans" w:hAnsi="Open Sans" w:cs="Open Sans"/>
                <w:color w:val="000000" w:themeColor="text1"/>
              </w:rPr>
            </w:pPr>
            <w:r w:rsidRPr="00140151">
              <w:rPr>
                <w:rFonts w:ascii="Open Sans" w:hAnsi="Open Sans" w:cs="Open Sans"/>
              </w:rPr>
              <w:t xml:space="preserve">The Broker shall send and receive </w:t>
            </w:r>
            <w:proofErr w:type="gramStart"/>
            <w:r w:rsidRPr="00140151">
              <w:rPr>
                <w:rFonts w:ascii="Open Sans" w:hAnsi="Open Sans" w:cs="Open Sans"/>
              </w:rPr>
              <w:t>all of</w:t>
            </w:r>
            <w:proofErr w:type="gramEnd"/>
            <w:r w:rsidRPr="00140151">
              <w:rPr>
                <w:rFonts w:ascii="Open Sans" w:hAnsi="Open Sans" w:cs="Open Sans"/>
              </w:rPr>
              <w:t xml:space="preserve"> the EHI in the data classes included in the then Current USCDI when and to the extent such EHI is requested and electronically available within or through the Qualified HIN’s Health Information Network.</w:t>
            </w:r>
          </w:p>
        </w:tc>
        <w:tc>
          <w:tcPr>
            <w:tcW w:w="4140" w:type="dxa"/>
          </w:tcPr>
          <w:p w14:paraId="1FE08345" w14:textId="6C222D31" w:rsidR="0096513E" w:rsidRPr="00140151" w:rsidRDefault="0096513E" w:rsidP="00E80759">
            <w:pPr>
              <w:autoSpaceDE w:val="0"/>
              <w:autoSpaceDN w:val="0"/>
              <w:adjustRightInd w:val="0"/>
              <w:rPr>
                <w:rFonts w:ascii="Open Sans" w:hAnsi="Open Sans" w:cs="Open Sans"/>
                <w:color w:val="000000"/>
              </w:rPr>
            </w:pPr>
            <w:r w:rsidRPr="00140151">
              <w:rPr>
                <w:rFonts w:ascii="Open Sans" w:hAnsi="Open Sans" w:cs="Open Sans"/>
                <w:color w:val="000000"/>
              </w:rPr>
              <w:t>Some of the data in the USCDI is not relevant for IIS (e.g., vital signs, clinical notes). As the list grows in the future years, this list of items an IIS is not</w:t>
            </w:r>
            <w:r w:rsidR="009840AB" w:rsidRPr="00140151">
              <w:rPr>
                <w:rFonts w:ascii="Open Sans" w:hAnsi="Open Sans" w:cs="Open Sans"/>
                <w:color w:val="000000"/>
              </w:rPr>
              <w:t xml:space="preserve"> interested in or </w:t>
            </w:r>
            <w:r w:rsidRPr="00140151">
              <w:rPr>
                <w:rFonts w:ascii="Open Sans" w:hAnsi="Open Sans" w:cs="Open Sans"/>
                <w:color w:val="000000"/>
              </w:rPr>
              <w:t xml:space="preserve">cannot see </w:t>
            </w:r>
            <w:r w:rsidR="00226DD5">
              <w:rPr>
                <w:rFonts w:ascii="Open Sans" w:hAnsi="Open Sans" w:cs="Open Sans"/>
                <w:color w:val="000000"/>
              </w:rPr>
              <w:t>will be</w:t>
            </w:r>
            <w:r w:rsidR="00226DD5" w:rsidRPr="00140151">
              <w:rPr>
                <w:rFonts w:ascii="Open Sans" w:hAnsi="Open Sans" w:cs="Open Sans"/>
                <w:color w:val="000000"/>
              </w:rPr>
              <w:t xml:space="preserve"> </w:t>
            </w:r>
            <w:r w:rsidRPr="00140151">
              <w:rPr>
                <w:rFonts w:ascii="Open Sans" w:hAnsi="Open Sans" w:cs="Open Sans"/>
                <w:color w:val="000000"/>
              </w:rPr>
              <w:t>larger.</w:t>
            </w:r>
          </w:p>
          <w:p w14:paraId="0318B122" w14:textId="77777777" w:rsidR="0096513E" w:rsidRPr="00140151" w:rsidRDefault="0096513E" w:rsidP="00E80759">
            <w:pPr>
              <w:autoSpaceDE w:val="0"/>
              <w:autoSpaceDN w:val="0"/>
              <w:adjustRightInd w:val="0"/>
              <w:rPr>
                <w:rFonts w:ascii="Open Sans" w:hAnsi="Open Sans" w:cs="Open Sans"/>
              </w:rPr>
            </w:pPr>
          </w:p>
          <w:p w14:paraId="65500844" w14:textId="77777777" w:rsidR="0096513E" w:rsidRPr="00140151" w:rsidRDefault="0096513E" w:rsidP="00A50C63">
            <w:pPr>
              <w:autoSpaceDE w:val="0"/>
              <w:autoSpaceDN w:val="0"/>
              <w:adjustRightInd w:val="0"/>
              <w:rPr>
                <w:rFonts w:ascii="Open Sans" w:hAnsi="Open Sans" w:cs="Open Sans"/>
              </w:rPr>
            </w:pPr>
            <w:r w:rsidRPr="00140151">
              <w:rPr>
                <w:rFonts w:ascii="Open Sans" w:hAnsi="Open Sans" w:cs="Open Sans"/>
                <w:color w:val="000000"/>
                <w:highlight w:val="yellow"/>
              </w:rPr>
              <w:t xml:space="preserve"> </w:t>
            </w:r>
          </w:p>
        </w:tc>
      </w:tr>
      <w:tr w:rsidR="0096513E" w14:paraId="097DCCD3" w14:textId="77777777" w:rsidTr="005B573E">
        <w:trPr>
          <w:cantSplit/>
        </w:trPr>
        <w:tc>
          <w:tcPr>
            <w:tcW w:w="1345" w:type="dxa"/>
          </w:tcPr>
          <w:p w14:paraId="7B6F3C7D" w14:textId="77777777" w:rsidR="0096513E" w:rsidRPr="00140151" w:rsidRDefault="0096513E" w:rsidP="00675CCC">
            <w:pPr>
              <w:rPr>
                <w:rFonts w:ascii="Open Sans" w:hAnsi="Open Sans" w:cs="Open Sans"/>
              </w:rPr>
            </w:pPr>
            <w:r w:rsidRPr="00140151">
              <w:rPr>
                <w:rFonts w:ascii="Open Sans" w:hAnsi="Open Sans" w:cs="Open Sans"/>
              </w:rPr>
              <w:lastRenderedPageBreak/>
              <w:t>p. 31, 3.1.3</w:t>
            </w:r>
          </w:p>
        </w:tc>
        <w:tc>
          <w:tcPr>
            <w:tcW w:w="4050" w:type="dxa"/>
          </w:tcPr>
          <w:p w14:paraId="75709339" w14:textId="77777777" w:rsidR="0096513E" w:rsidRPr="00140151" w:rsidRDefault="0096513E" w:rsidP="00E80759">
            <w:pPr>
              <w:rPr>
                <w:rFonts w:ascii="Open Sans" w:hAnsi="Open Sans" w:cs="Open Sans"/>
              </w:rPr>
            </w:pPr>
            <w:r w:rsidRPr="00140151">
              <w:rPr>
                <w:rFonts w:ascii="Open Sans" w:hAnsi="Open Sans" w:cs="Open Sans"/>
              </w:rPr>
              <w:t>As more fully described in the following provisions of this Section 3, the Qualified HIN’s Broker shall adhere to standards and implementation specifications for electronic data and interoperability that are outlined in 45 C.F.R. Part 170, Subpart B as applicable and referenced in the 2015 Edition (or any then applicable standards and implementation specifications adopted in the future by HHS) for the uses to which those standards and implementation specifications are applied.</w:t>
            </w:r>
          </w:p>
        </w:tc>
        <w:tc>
          <w:tcPr>
            <w:tcW w:w="4140" w:type="dxa"/>
          </w:tcPr>
          <w:p w14:paraId="7ACCEFCF" w14:textId="213BB98A" w:rsidR="0096513E" w:rsidRPr="00140151" w:rsidRDefault="0096513E" w:rsidP="0096513E">
            <w:pPr>
              <w:autoSpaceDE w:val="0"/>
              <w:autoSpaceDN w:val="0"/>
              <w:adjustRightInd w:val="0"/>
              <w:rPr>
                <w:rFonts w:ascii="Open Sans" w:hAnsi="Open Sans" w:cs="Open Sans"/>
              </w:rPr>
            </w:pPr>
            <w:r w:rsidRPr="00140151">
              <w:rPr>
                <w:rFonts w:ascii="Open Sans" w:hAnsi="Open Sans" w:cs="Open Sans"/>
                <w:color w:val="000000"/>
              </w:rPr>
              <w:t>Although immunization is noted here (1.4, 1.5, and addendum), the SOAP/WS and the CDC WSDL, as the transport method for IIS data, is not. We</w:t>
            </w:r>
            <w:r w:rsidR="00300384">
              <w:rPr>
                <w:rFonts w:ascii="Open Sans" w:hAnsi="Open Sans" w:cs="Open Sans"/>
                <w:color w:val="000000"/>
              </w:rPr>
              <w:t xml:space="preserve"> strongly</w:t>
            </w:r>
            <w:r w:rsidRPr="00140151">
              <w:rPr>
                <w:rFonts w:ascii="Open Sans" w:hAnsi="Open Sans" w:cs="Open Sans"/>
                <w:color w:val="000000"/>
              </w:rPr>
              <w:t xml:space="preserve"> recommend the inclusion of SOAP/WS and the CDC WSDL. </w:t>
            </w:r>
          </w:p>
          <w:p w14:paraId="2318CD04" w14:textId="77777777" w:rsidR="0096513E" w:rsidRPr="00140151" w:rsidRDefault="0096513E" w:rsidP="00E80759">
            <w:pPr>
              <w:autoSpaceDE w:val="0"/>
              <w:autoSpaceDN w:val="0"/>
              <w:adjustRightInd w:val="0"/>
              <w:rPr>
                <w:rFonts w:ascii="Open Sans" w:hAnsi="Open Sans" w:cs="Open Sans"/>
                <w:color w:val="000000"/>
              </w:rPr>
            </w:pPr>
          </w:p>
        </w:tc>
      </w:tr>
      <w:tr w:rsidR="003428B7" w14:paraId="7FF800ED" w14:textId="77777777" w:rsidTr="005B573E">
        <w:trPr>
          <w:cantSplit/>
        </w:trPr>
        <w:tc>
          <w:tcPr>
            <w:tcW w:w="1345" w:type="dxa"/>
          </w:tcPr>
          <w:p w14:paraId="3A27813C" w14:textId="77777777" w:rsidR="003428B7" w:rsidRPr="00140151" w:rsidRDefault="003428B7" w:rsidP="00675CCC">
            <w:pPr>
              <w:rPr>
                <w:rFonts w:ascii="Open Sans" w:hAnsi="Open Sans" w:cs="Open Sans"/>
              </w:rPr>
            </w:pPr>
            <w:r w:rsidRPr="00140151">
              <w:rPr>
                <w:rFonts w:ascii="Open Sans" w:hAnsi="Open Sans" w:cs="Open Sans"/>
              </w:rPr>
              <w:t>p. 32, 3.1.5</w:t>
            </w:r>
          </w:p>
        </w:tc>
        <w:tc>
          <w:tcPr>
            <w:tcW w:w="4050" w:type="dxa"/>
          </w:tcPr>
          <w:p w14:paraId="1895B8AF" w14:textId="77777777" w:rsidR="003428B7" w:rsidRPr="00140151" w:rsidRDefault="003428B7" w:rsidP="00E80759">
            <w:pPr>
              <w:rPr>
                <w:rFonts w:ascii="Open Sans" w:hAnsi="Open Sans" w:cs="Open Sans"/>
                <w:color w:val="000000" w:themeColor="text1"/>
              </w:rPr>
            </w:pPr>
            <w:r w:rsidRPr="00140151">
              <w:rPr>
                <w:rFonts w:ascii="Open Sans" w:eastAsia="Times New Roman" w:hAnsi="Open Sans" w:cs="Open Sans"/>
              </w:rPr>
              <w:t>Within twelve (12) months after the FHIR standard with respect to Population Level Query/Pulls has been formally approved by HL7, each Qualified HIN shall cause its Broker to be able to initiate and respond to all Query/Pulls for as many individuals as may be requested by another Qualified HIN in a single Query/Pull.</w:t>
            </w:r>
          </w:p>
        </w:tc>
        <w:tc>
          <w:tcPr>
            <w:tcW w:w="4140" w:type="dxa"/>
          </w:tcPr>
          <w:p w14:paraId="42DADBE7" w14:textId="77777777" w:rsidR="00570F30" w:rsidRPr="00140151" w:rsidRDefault="00570F30" w:rsidP="00570F30">
            <w:pPr>
              <w:textAlignment w:val="center"/>
              <w:rPr>
                <w:rFonts w:ascii="Open Sans" w:hAnsi="Open Sans" w:cs="Open Sans"/>
              </w:rPr>
            </w:pPr>
            <w:r w:rsidRPr="00140151">
              <w:rPr>
                <w:rFonts w:ascii="Open Sans" w:hAnsi="Open Sans" w:cs="Open Sans"/>
              </w:rPr>
              <w:t>If this is talking about base resources, a FHIR Maturity Level or "normative status" should be referenced. "</w:t>
            </w:r>
            <w:r w:rsidR="00874EB8" w:rsidRPr="00140151">
              <w:rPr>
                <w:rFonts w:ascii="Open Sans" w:hAnsi="Open Sans" w:cs="Open Sans"/>
              </w:rPr>
              <w:t>N</w:t>
            </w:r>
            <w:r w:rsidRPr="00140151">
              <w:rPr>
                <w:rFonts w:ascii="Open Sans" w:hAnsi="Open Sans" w:cs="Open Sans"/>
              </w:rPr>
              <w:t>ormative status" probably also applies to profiles/IGs</w:t>
            </w:r>
            <w:r w:rsidR="00874EB8" w:rsidRPr="00140151">
              <w:rPr>
                <w:rFonts w:ascii="Open Sans" w:hAnsi="Open Sans" w:cs="Open Sans"/>
              </w:rPr>
              <w:t>.</w:t>
            </w:r>
          </w:p>
          <w:p w14:paraId="61330DF3" w14:textId="77777777" w:rsidR="00874EB8" w:rsidRPr="00140151" w:rsidRDefault="00874EB8" w:rsidP="00570F30">
            <w:pPr>
              <w:textAlignment w:val="center"/>
              <w:rPr>
                <w:rFonts w:ascii="Open Sans" w:hAnsi="Open Sans" w:cs="Open Sans"/>
              </w:rPr>
            </w:pPr>
          </w:p>
          <w:p w14:paraId="0207CAB4" w14:textId="762CA2B1" w:rsidR="003428B7" w:rsidRPr="00140151" w:rsidRDefault="00874EB8" w:rsidP="00E80759">
            <w:pPr>
              <w:autoSpaceDE w:val="0"/>
              <w:autoSpaceDN w:val="0"/>
              <w:adjustRightInd w:val="0"/>
              <w:rPr>
                <w:rFonts w:ascii="Open Sans" w:hAnsi="Open Sans" w:cs="Open Sans"/>
              </w:rPr>
            </w:pPr>
            <w:r w:rsidRPr="00140151">
              <w:rPr>
                <w:rFonts w:ascii="Open Sans" w:hAnsi="Open Sans" w:cs="Open Sans"/>
                <w:color w:val="000000"/>
              </w:rPr>
              <w:t>Is HL7 creating a U.S. Profile for this, or is this referring to the base FHIR Resources, which might be quite loose and result in varied implementations.</w:t>
            </w:r>
          </w:p>
        </w:tc>
      </w:tr>
      <w:tr w:rsidR="003428B7" w14:paraId="29C6CC5A" w14:textId="77777777" w:rsidTr="005B573E">
        <w:trPr>
          <w:cantSplit/>
        </w:trPr>
        <w:tc>
          <w:tcPr>
            <w:tcW w:w="1345" w:type="dxa"/>
          </w:tcPr>
          <w:p w14:paraId="68488460" w14:textId="77777777" w:rsidR="003428B7" w:rsidRPr="00140151" w:rsidRDefault="003428B7" w:rsidP="00675CCC">
            <w:pPr>
              <w:rPr>
                <w:rFonts w:ascii="Open Sans" w:hAnsi="Open Sans" w:cs="Open Sans"/>
              </w:rPr>
            </w:pPr>
            <w:r w:rsidRPr="00140151">
              <w:rPr>
                <w:rFonts w:ascii="Open Sans" w:hAnsi="Open Sans" w:cs="Open Sans"/>
              </w:rPr>
              <w:t>p. 32, 3.1.8</w:t>
            </w:r>
          </w:p>
        </w:tc>
        <w:tc>
          <w:tcPr>
            <w:tcW w:w="4050" w:type="dxa"/>
          </w:tcPr>
          <w:p w14:paraId="410B4698" w14:textId="77777777" w:rsidR="003428B7" w:rsidRPr="00140151" w:rsidRDefault="0015774D" w:rsidP="00E80759">
            <w:pPr>
              <w:rPr>
                <w:rFonts w:ascii="Open Sans" w:hAnsi="Open Sans" w:cs="Open Sans"/>
                <w:color w:val="000000" w:themeColor="text1"/>
              </w:rPr>
            </w:pPr>
            <w:r w:rsidRPr="0015774D">
              <w:rPr>
                <w:rFonts w:ascii="Open Sans" w:hAnsi="Open Sans" w:cs="Open Sans"/>
              </w:rPr>
              <w:t>Initiating Queries. The Qualified HIN shall cause its Broker to perform the following functions when initiating any Query/Pull:</w:t>
            </w:r>
          </w:p>
        </w:tc>
        <w:tc>
          <w:tcPr>
            <w:tcW w:w="4140" w:type="dxa"/>
          </w:tcPr>
          <w:p w14:paraId="6C44E309" w14:textId="7140EE2C" w:rsidR="003428B7" w:rsidRPr="005B573E" w:rsidRDefault="003428B7" w:rsidP="005B573E">
            <w:pPr>
              <w:tabs>
                <w:tab w:val="left" w:pos="2550"/>
              </w:tabs>
              <w:rPr>
                <w:rFonts w:ascii="Open Sans" w:hAnsi="Open Sans" w:cs="Open Sans"/>
              </w:rPr>
            </w:pPr>
            <w:r w:rsidRPr="00140151">
              <w:rPr>
                <w:rFonts w:ascii="Open Sans" w:hAnsi="Open Sans" w:cs="Open Sans"/>
              </w:rPr>
              <w:t xml:space="preserve">This section and other sections presume a very specific set of technologies which are not being used dominantly today in the US. Is it ONC’s intention that </w:t>
            </w:r>
            <w:r w:rsidRPr="00140151">
              <w:rPr>
                <w:rFonts w:ascii="Open Sans" w:hAnsi="Open Sans" w:cs="Open Sans"/>
                <w:i/>
              </w:rPr>
              <w:t>all</w:t>
            </w:r>
            <w:r w:rsidRPr="00140151">
              <w:rPr>
                <w:rFonts w:ascii="Open Sans" w:hAnsi="Open Sans" w:cs="Open Sans"/>
              </w:rPr>
              <w:t xml:space="preserve"> inter-organizational interoperability </w:t>
            </w:r>
            <w:proofErr w:type="gramStart"/>
            <w:r w:rsidRPr="00140151">
              <w:rPr>
                <w:rFonts w:ascii="Open Sans" w:hAnsi="Open Sans" w:cs="Open Sans"/>
              </w:rPr>
              <w:t>move</w:t>
            </w:r>
            <w:proofErr w:type="gramEnd"/>
            <w:r w:rsidRPr="00140151">
              <w:rPr>
                <w:rFonts w:ascii="Open Sans" w:hAnsi="Open Sans" w:cs="Open Sans"/>
              </w:rPr>
              <w:t xml:space="preserve"> to use these technologies? </w:t>
            </w:r>
            <w:r w:rsidR="005B573E">
              <w:rPr>
                <w:rFonts w:ascii="Open Sans" w:hAnsi="Open Sans" w:cs="Open Sans"/>
              </w:rPr>
              <w:tab/>
            </w:r>
          </w:p>
        </w:tc>
      </w:tr>
      <w:tr w:rsidR="003428B7" w14:paraId="13076BA5" w14:textId="77777777" w:rsidTr="005B573E">
        <w:trPr>
          <w:cantSplit/>
        </w:trPr>
        <w:tc>
          <w:tcPr>
            <w:tcW w:w="1345" w:type="dxa"/>
          </w:tcPr>
          <w:p w14:paraId="4A9A6ABE" w14:textId="77777777" w:rsidR="003428B7" w:rsidRPr="00140151" w:rsidRDefault="003428B7" w:rsidP="003428B7">
            <w:pPr>
              <w:textAlignment w:val="center"/>
              <w:rPr>
                <w:rFonts w:ascii="Open Sans" w:hAnsi="Open Sans" w:cs="Open Sans"/>
              </w:rPr>
            </w:pPr>
            <w:r w:rsidRPr="00140151">
              <w:rPr>
                <w:rFonts w:ascii="Open Sans" w:hAnsi="Open Sans" w:cs="Open Sans"/>
              </w:rPr>
              <w:lastRenderedPageBreak/>
              <w:t>p. 33</w:t>
            </w:r>
          </w:p>
          <w:p w14:paraId="20FDD0E5" w14:textId="77777777" w:rsidR="003428B7" w:rsidRPr="00140151" w:rsidRDefault="003428B7" w:rsidP="00675CCC">
            <w:pPr>
              <w:rPr>
                <w:rFonts w:ascii="Open Sans" w:hAnsi="Open Sans" w:cs="Open Sans"/>
              </w:rPr>
            </w:pPr>
          </w:p>
        </w:tc>
        <w:tc>
          <w:tcPr>
            <w:tcW w:w="4050" w:type="dxa"/>
          </w:tcPr>
          <w:p w14:paraId="44439AD0" w14:textId="77777777" w:rsidR="003428B7" w:rsidRPr="00966E1A" w:rsidRDefault="003428B7" w:rsidP="00966E1A">
            <w:pPr>
              <w:textAlignment w:val="center"/>
              <w:rPr>
                <w:rFonts w:ascii="Open Sans" w:eastAsia="Times New Roman" w:hAnsi="Open Sans" w:cs="Open Sans"/>
              </w:rPr>
            </w:pPr>
            <w:r w:rsidRPr="00140151">
              <w:rPr>
                <w:rFonts w:ascii="Open Sans" w:eastAsia="Times New Roman" w:hAnsi="Open Sans" w:cs="Open Sans"/>
              </w:rPr>
              <w:t xml:space="preserve">The responding Qualified HIN’s Broker may use any internally defined interactions (such as individual matching, provider identity, data transmission) to retrieve </w:t>
            </w:r>
            <w:proofErr w:type="gramStart"/>
            <w:r w:rsidRPr="00140151">
              <w:rPr>
                <w:rFonts w:ascii="Open Sans" w:eastAsia="Times New Roman" w:hAnsi="Open Sans" w:cs="Open Sans"/>
              </w:rPr>
              <w:t>all of</w:t>
            </w:r>
            <w:proofErr w:type="gramEnd"/>
            <w:r w:rsidRPr="00140151">
              <w:rPr>
                <w:rFonts w:ascii="Open Sans" w:eastAsia="Times New Roman" w:hAnsi="Open Sans" w:cs="Open Sans"/>
              </w:rPr>
              <w:t xml:space="preserve"> the EHI in the data classes included in the then Current USCDI from its Participants as long as it responds to the initiating Qualified HIN’s Broker in accordance with the other requirements of this Section 3. Additionally, regardless of the format and any problems that may arise from the format in which the Participant entered the EHI or makes it available for a response, the responding Broker is responsible for returning </w:t>
            </w:r>
            <w:proofErr w:type="gramStart"/>
            <w:r w:rsidRPr="00140151">
              <w:rPr>
                <w:rFonts w:ascii="Open Sans" w:eastAsia="Times New Roman" w:hAnsi="Open Sans" w:cs="Open Sans"/>
              </w:rPr>
              <w:t>all of</w:t>
            </w:r>
            <w:proofErr w:type="gramEnd"/>
            <w:r w:rsidRPr="00140151">
              <w:rPr>
                <w:rFonts w:ascii="Open Sans" w:eastAsia="Times New Roman" w:hAnsi="Open Sans" w:cs="Open Sans"/>
              </w:rPr>
              <w:t xml:space="preserve"> the EHI in the data classes included in the then Current USCDI, when and to the extent that such EHI is available and has been requested and the response is in compliance with Applicable Law; </w:t>
            </w:r>
          </w:p>
        </w:tc>
        <w:tc>
          <w:tcPr>
            <w:tcW w:w="4140" w:type="dxa"/>
          </w:tcPr>
          <w:p w14:paraId="7096EB30" w14:textId="2A41CEFF" w:rsidR="00F51D3A" w:rsidRPr="00140151" w:rsidRDefault="00F51D3A" w:rsidP="00F51D3A">
            <w:pPr>
              <w:textAlignment w:val="center"/>
              <w:rPr>
                <w:rFonts w:ascii="Open Sans" w:hAnsi="Open Sans" w:cs="Open Sans"/>
              </w:rPr>
            </w:pPr>
            <w:r>
              <w:rPr>
                <w:rFonts w:ascii="Open Sans" w:hAnsi="Open Sans" w:cs="Open Sans"/>
              </w:rPr>
              <w:t>This section</w:t>
            </w:r>
            <w:r w:rsidRPr="00140151">
              <w:rPr>
                <w:rFonts w:ascii="Open Sans" w:hAnsi="Open Sans" w:cs="Open Sans"/>
              </w:rPr>
              <w:t xml:space="preserve"> opens the door for any mechanism of communication within a QHIN which is likely where the </w:t>
            </w:r>
            <w:r>
              <w:rPr>
                <w:rFonts w:ascii="Open Sans" w:hAnsi="Open Sans" w:cs="Open Sans"/>
              </w:rPr>
              <w:t>most Public Health agencies</w:t>
            </w:r>
            <w:r w:rsidRPr="00140151">
              <w:rPr>
                <w:rFonts w:ascii="Open Sans" w:hAnsi="Open Sans" w:cs="Open Sans"/>
              </w:rPr>
              <w:t xml:space="preserve"> </w:t>
            </w:r>
            <w:r>
              <w:rPr>
                <w:rFonts w:ascii="Open Sans" w:hAnsi="Open Sans" w:cs="Open Sans"/>
              </w:rPr>
              <w:t>fit</w:t>
            </w:r>
            <w:r w:rsidRPr="00140151">
              <w:rPr>
                <w:rFonts w:ascii="Open Sans" w:hAnsi="Open Sans" w:cs="Open Sans"/>
              </w:rPr>
              <w:t xml:space="preserve"> as a participant. </w:t>
            </w:r>
            <w:r>
              <w:rPr>
                <w:rFonts w:ascii="Open Sans" w:hAnsi="Open Sans" w:cs="Open Sans"/>
              </w:rPr>
              <w:t>To minimize change from current exchange standards, TEFCA</w:t>
            </w:r>
            <w:r w:rsidRPr="00140151">
              <w:rPr>
                <w:rFonts w:ascii="Open Sans" w:hAnsi="Open Sans" w:cs="Open Sans"/>
              </w:rPr>
              <w:t xml:space="preserve"> should at least state a preference for 2015 certification methods </w:t>
            </w:r>
            <w:r>
              <w:rPr>
                <w:rFonts w:ascii="Open Sans" w:hAnsi="Open Sans" w:cs="Open Sans"/>
              </w:rPr>
              <w:t xml:space="preserve">be used </w:t>
            </w:r>
            <w:r w:rsidRPr="00140151">
              <w:rPr>
                <w:rFonts w:ascii="Open Sans" w:hAnsi="Open Sans" w:cs="Open Sans"/>
              </w:rPr>
              <w:t>within a QHIN</w:t>
            </w:r>
            <w:r w:rsidR="00607C8E">
              <w:rPr>
                <w:rFonts w:ascii="Open Sans" w:hAnsi="Open Sans" w:cs="Open Sans"/>
              </w:rPr>
              <w:t>.</w:t>
            </w:r>
            <w:bookmarkStart w:id="0" w:name="_GoBack"/>
            <w:bookmarkEnd w:id="0"/>
          </w:p>
          <w:p w14:paraId="68C9712B" w14:textId="77777777" w:rsidR="003428B7" w:rsidRPr="00140151" w:rsidRDefault="003428B7" w:rsidP="00E80759">
            <w:pPr>
              <w:autoSpaceDE w:val="0"/>
              <w:autoSpaceDN w:val="0"/>
              <w:adjustRightInd w:val="0"/>
              <w:rPr>
                <w:rFonts w:ascii="Open Sans" w:hAnsi="Open Sans" w:cs="Open Sans"/>
              </w:rPr>
            </w:pPr>
          </w:p>
        </w:tc>
      </w:tr>
      <w:tr w:rsidR="00F51D3A" w14:paraId="18825F80" w14:textId="77777777" w:rsidTr="005B573E">
        <w:trPr>
          <w:cantSplit/>
        </w:trPr>
        <w:tc>
          <w:tcPr>
            <w:tcW w:w="1345" w:type="dxa"/>
          </w:tcPr>
          <w:p w14:paraId="1EB9576F" w14:textId="77777777" w:rsidR="00F51D3A" w:rsidRPr="00140151" w:rsidRDefault="00F51D3A" w:rsidP="00F51D3A">
            <w:pPr>
              <w:textAlignment w:val="center"/>
              <w:rPr>
                <w:rFonts w:ascii="Open Sans" w:hAnsi="Open Sans" w:cs="Open Sans"/>
              </w:rPr>
            </w:pPr>
            <w:r w:rsidRPr="00140151">
              <w:rPr>
                <w:rFonts w:ascii="Open Sans" w:hAnsi="Open Sans" w:cs="Open Sans"/>
              </w:rPr>
              <w:t>p. 33</w:t>
            </w:r>
          </w:p>
        </w:tc>
        <w:tc>
          <w:tcPr>
            <w:tcW w:w="4050" w:type="dxa"/>
          </w:tcPr>
          <w:p w14:paraId="475C0388" w14:textId="77777777" w:rsidR="00F51D3A" w:rsidRPr="00140151" w:rsidRDefault="00F51D3A" w:rsidP="00E80759">
            <w:pPr>
              <w:rPr>
                <w:rFonts w:ascii="Open Sans" w:hAnsi="Open Sans" w:cs="Open Sans"/>
              </w:rPr>
            </w:pPr>
            <w:r w:rsidRPr="00140151">
              <w:rPr>
                <w:rFonts w:ascii="Open Sans" w:eastAsia="Times New Roman" w:hAnsi="Open Sans" w:cs="Open Sans"/>
              </w:rPr>
              <w:t>If more than one Participant internal to the Qualified HIN’s Health Information Network has the desired EHI, the responding Broker shall consolidate the results from the multiple Participants into one response to the initiating Broker.</w:t>
            </w:r>
          </w:p>
        </w:tc>
        <w:tc>
          <w:tcPr>
            <w:tcW w:w="4140" w:type="dxa"/>
          </w:tcPr>
          <w:p w14:paraId="300059D0" w14:textId="77777777" w:rsidR="00F51D3A" w:rsidRPr="00140151" w:rsidRDefault="00F51D3A" w:rsidP="00E80759">
            <w:pPr>
              <w:autoSpaceDE w:val="0"/>
              <w:autoSpaceDN w:val="0"/>
              <w:adjustRightInd w:val="0"/>
              <w:rPr>
                <w:rFonts w:ascii="Open Sans" w:hAnsi="Open Sans" w:cs="Open Sans"/>
              </w:rPr>
            </w:pPr>
            <w:r>
              <w:rPr>
                <w:rFonts w:ascii="Open Sans" w:hAnsi="Open Sans" w:cs="Open Sans"/>
              </w:rPr>
              <w:t>The meaning of “consolidate” is ambiguous. For example, if multiple Participants contain a patient’s immunization history, does the Broker have to reconcile the immunization events from both participants into a single list with duplicate entries removed, or do they simply have to include data from both participants in the response? Please expand on the Broker responsibilities in terms of consolidating overlapping data from multiple Participants.</w:t>
            </w:r>
          </w:p>
        </w:tc>
      </w:tr>
      <w:tr w:rsidR="003428B7" w14:paraId="0038C2E2" w14:textId="77777777" w:rsidTr="005B573E">
        <w:trPr>
          <w:cantSplit/>
        </w:trPr>
        <w:tc>
          <w:tcPr>
            <w:tcW w:w="1345" w:type="dxa"/>
          </w:tcPr>
          <w:p w14:paraId="5C966A4B" w14:textId="77777777" w:rsidR="003428B7" w:rsidRPr="00140151" w:rsidRDefault="003428B7" w:rsidP="00675CCC">
            <w:pPr>
              <w:rPr>
                <w:rFonts w:ascii="Open Sans" w:hAnsi="Open Sans" w:cs="Open Sans"/>
              </w:rPr>
            </w:pPr>
            <w:r w:rsidRPr="00140151">
              <w:rPr>
                <w:rFonts w:ascii="Open Sans" w:hAnsi="Open Sans" w:cs="Open Sans"/>
              </w:rPr>
              <w:lastRenderedPageBreak/>
              <w:t>p. 36, 5.3.2</w:t>
            </w:r>
          </w:p>
        </w:tc>
        <w:tc>
          <w:tcPr>
            <w:tcW w:w="4050" w:type="dxa"/>
          </w:tcPr>
          <w:p w14:paraId="1178B350" w14:textId="77777777" w:rsidR="003428B7" w:rsidRPr="00140151" w:rsidRDefault="006929CC" w:rsidP="00E80759">
            <w:pPr>
              <w:rPr>
                <w:rFonts w:ascii="Open Sans" w:hAnsi="Open Sans" w:cs="Open Sans"/>
                <w:color w:val="000000" w:themeColor="text1"/>
              </w:rPr>
            </w:pPr>
            <w:r w:rsidRPr="00140151">
              <w:rPr>
                <w:rFonts w:ascii="Open Sans" w:hAnsi="Open Sans" w:cs="Open Sans"/>
              </w:rPr>
              <w:t>Notwithstanding anything to the contrary set forth in the Common Agreement or elsewhere, a responding Qualified HIN may not charge any amount for responding to Queries/Pulls for the Permitted Purposes of Individual Access, Public Health or Benefits Determination.</w:t>
            </w:r>
          </w:p>
        </w:tc>
        <w:tc>
          <w:tcPr>
            <w:tcW w:w="4140" w:type="dxa"/>
          </w:tcPr>
          <w:p w14:paraId="5E83C566" w14:textId="77777777" w:rsidR="003428B7" w:rsidRPr="00140151" w:rsidRDefault="003428B7" w:rsidP="00E80759">
            <w:pPr>
              <w:autoSpaceDE w:val="0"/>
              <w:autoSpaceDN w:val="0"/>
              <w:adjustRightInd w:val="0"/>
              <w:rPr>
                <w:rFonts w:ascii="Open Sans" w:hAnsi="Open Sans" w:cs="Open Sans"/>
              </w:rPr>
            </w:pPr>
            <w:r w:rsidRPr="00140151">
              <w:rPr>
                <w:rFonts w:ascii="Open Sans" w:hAnsi="Open Sans" w:cs="Open Sans"/>
              </w:rPr>
              <w:t xml:space="preserve">We applaud the prohibition on a Qualified HIN charging money for responding to queries related to public health. </w:t>
            </w:r>
          </w:p>
        </w:tc>
      </w:tr>
      <w:tr w:rsidR="003428B7" w14:paraId="35F078A0" w14:textId="77777777" w:rsidTr="005B573E">
        <w:trPr>
          <w:cantSplit/>
        </w:trPr>
        <w:tc>
          <w:tcPr>
            <w:tcW w:w="1345" w:type="dxa"/>
          </w:tcPr>
          <w:p w14:paraId="1C991000" w14:textId="77777777" w:rsidR="003428B7" w:rsidRPr="00140151" w:rsidRDefault="003428B7" w:rsidP="00675CCC">
            <w:pPr>
              <w:rPr>
                <w:rFonts w:ascii="Open Sans" w:hAnsi="Open Sans" w:cs="Open Sans"/>
              </w:rPr>
            </w:pPr>
            <w:r w:rsidRPr="00140151">
              <w:rPr>
                <w:rFonts w:ascii="Open Sans" w:hAnsi="Open Sans" w:cs="Open Sans"/>
              </w:rPr>
              <w:t>p. 36, 6.1.2</w:t>
            </w:r>
          </w:p>
        </w:tc>
        <w:tc>
          <w:tcPr>
            <w:tcW w:w="4050" w:type="dxa"/>
          </w:tcPr>
          <w:p w14:paraId="370796CF" w14:textId="77777777" w:rsidR="003428B7" w:rsidRPr="00140151" w:rsidRDefault="0015774D" w:rsidP="00E80759">
            <w:pPr>
              <w:rPr>
                <w:rFonts w:ascii="Open Sans" w:hAnsi="Open Sans" w:cs="Open Sans"/>
                <w:color w:val="000000" w:themeColor="text1"/>
              </w:rPr>
            </w:pPr>
            <w:r w:rsidRPr="0015774D">
              <w:rPr>
                <w:rFonts w:ascii="Open Sans" w:hAnsi="Open Sans" w:cs="Open Sans"/>
              </w:rPr>
              <w:t>Once ePHI is shared with another Qualified HIN, the receiving Qualified HIN may exchange, retain, Use and Disclose such ePHI only to perform functions in connection with the Permitted Purposes in accordance with the Common Agreement and the Qualified HIN’s Participant Agreements, or as otherwise permitted by Applicable Law.</w:t>
            </w:r>
          </w:p>
        </w:tc>
        <w:tc>
          <w:tcPr>
            <w:tcW w:w="4140" w:type="dxa"/>
          </w:tcPr>
          <w:p w14:paraId="39315E03" w14:textId="77777777" w:rsidR="003428B7" w:rsidRPr="00140151" w:rsidRDefault="003428B7" w:rsidP="00E80759">
            <w:pPr>
              <w:autoSpaceDE w:val="0"/>
              <w:autoSpaceDN w:val="0"/>
              <w:adjustRightInd w:val="0"/>
              <w:rPr>
                <w:rFonts w:ascii="Open Sans" w:hAnsi="Open Sans" w:cs="Open Sans"/>
              </w:rPr>
            </w:pPr>
            <w:r w:rsidRPr="00140151">
              <w:rPr>
                <w:rFonts w:ascii="Open Sans" w:hAnsi="Open Sans" w:cs="Open Sans"/>
              </w:rPr>
              <w:t>This issue of re-disclosure of data that was originally submitted to public health and is then returned by public health in response to a query is an important one. We applaud the inclusion of this in the Common Agreement, though additional review and discussion may be warranted.</w:t>
            </w:r>
          </w:p>
        </w:tc>
      </w:tr>
      <w:tr w:rsidR="003428B7" w14:paraId="045FD50D" w14:textId="77777777" w:rsidTr="005B573E">
        <w:trPr>
          <w:cantSplit/>
        </w:trPr>
        <w:tc>
          <w:tcPr>
            <w:tcW w:w="1345" w:type="dxa"/>
          </w:tcPr>
          <w:p w14:paraId="65505C4D" w14:textId="77777777" w:rsidR="003428B7" w:rsidRPr="00140151" w:rsidRDefault="003428B7" w:rsidP="00675CCC">
            <w:pPr>
              <w:rPr>
                <w:rFonts w:ascii="Open Sans" w:hAnsi="Open Sans" w:cs="Open Sans"/>
              </w:rPr>
            </w:pPr>
            <w:r w:rsidRPr="00140151">
              <w:rPr>
                <w:rFonts w:ascii="Open Sans" w:hAnsi="Open Sans" w:cs="Open Sans"/>
              </w:rPr>
              <w:t>p. 37, 6.1.6</w:t>
            </w:r>
          </w:p>
        </w:tc>
        <w:tc>
          <w:tcPr>
            <w:tcW w:w="4050" w:type="dxa"/>
          </w:tcPr>
          <w:p w14:paraId="56F1EF6E" w14:textId="77777777" w:rsidR="003428B7" w:rsidRPr="00140151" w:rsidRDefault="0015774D" w:rsidP="00E80759">
            <w:pPr>
              <w:rPr>
                <w:rFonts w:ascii="Open Sans" w:hAnsi="Open Sans" w:cs="Open Sans"/>
                <w:color w:val="000000" w:themeColor="text1"/>
              </w:rPr>
            </w:pPr>
            <w:r w:rsidRPr="0015774D">
              <w:rPr>
                <w:rFonts w:ascii="Open Sans" w:hAnsi="Open Sans" w:cs="Open Sans"/>
              </w:rPr>
              <w:t>Each Qualified HIN shall require its Participants to provide the Qualified HIN with a copy of each consent of a Qualified HIN’s consenting individual and the Qualified HIN shall maintain copies…</w:t>
            </w:r>
          </w:p>
        </w:tc>
        <w:tc>
          <w:tcPr>
            <w:tcW w:w="4140" w:type="dxa"/>
          </w:tcPr>
          <w:p w14:paraId="1A7B39A9" w14:textId="7B96E01A" w:rsidR="003428B7" w:rsidRPr="00140151" w:rsidRDefault="003428B7" w:rsidP="00E80759">
            <w:pPr>
              <w:autoSpaceDE w:val="0"/>
              <w:autoSpaceDN w:val="0"/>
              <w:adjustRightInd w:val="0"/>
              <w:rPr>
                <w:rFonts w:ascii="Open Sans" w:hAnsi="Open Sans" w:cs="Open Sans"/>
              </w:rPr>
            </w:pPr>
            <w:r w:rsidRPr="00140151">
              <w:rPr>
                <w:rFonts w:ascii="Open Sans" w:hAnsi="Open Sans" w:cs="Open Sans"/>
              </w:rPr>
              <w:t>The section on providing a copy of consent is insufficient</w:t>
            </w:r>
            <w:r w:rsidR="000E59CE">
              <w:rPr>
                <w:rFonts w:ascii="Open Sans" w:hAnsi="Open Sans" w:cs="Open Sans"/>
              </w:rPr>
              <w:t>. For example,</w:t>
            </w:r>
            <w:r w:rsidR="000E59CE" w:rsidRPr="00140151">
              <w:rPr>
                <w:rFonts w:ascii="Open Sans" w:hAnsi="Open Sans" w:cs="Open Sans"/>
              </w:rPr>
              <w:t xml:space="preserve"> </w:t>
            </w:r>
            <w:r w:rsidRPr="00140151">
              <w:rPr>
                <w:rFonts w:ascii="Open Sans" w:hAnsi="Open Sans" w:cs="Open Sans"/>
              </w:rPr>
              <w:t>an electronic copy conveyed</w:t>
            </w:r>
            <w:r w:rsidR="000E59CE">
              <w:rPr>
                <w:rFonts w:ascii="Open Sans" w:hAnsi="Open Sans" w:cs="Open Sans"/>
              </w:rPr>
              <w:t xml:space="preserve"> </w:t>
            </w:r>
            <w:r w:rsidR="004C1E2E">
              <w:rPr>
                <w:rFonts w:ascii="Open Sans" w:hAnsi="Open Sans" w:cs="Open Sans"/>
              </w:rPr>
              <w:t xml:space="preserve">in a </w:t>
            </w:r>
            <w:r w:rsidRPr="00140151">
              <w:rPr>
                <w:rFonts w:ascii="Open Sans" w:hAnsi="Open Sans" w:cs="Open Sans"/>
              </w:rPr>
              <w:t xml:space="preserve">PDF document is of limited use and will not help to build systems that can more transparently </w:t>
            </w:r>
            <w:r w:rsidRPr="00140151">
              <w:rPr>
                <w:rFonts w:ascii="Open Sans" w:hAnsi="Open Sans" w:cs="Open Sans"/>
                <w:i/>
              </w:rPr>
              <w:t>use</w:t>
            </w:r>
            <w:r w:rsidRPr="00140151">
              <w:rPr>
                <w:rFonts w:ascii="Open Sans" w:hAnsi="Open Sans" w:cs="Open Sans"/>
              </w:rPr>
              <w:t xml:space="preserve"> consent directives to control interoperability.</w:t>
            </w:r>
          </w:p>
        </w:tc>
      </w:tr>
      <w:tr w:rsidR="003428B7" w14:paraId="3D90F49C" w14:textId="77777777" w:rsidTr="005B573E">
        <w:trPr>
          <w:cantSplit/>
        </w:trPr>
        <w:tc>
          <w:tcPr>
            <w:tcW w:w="1345" w:type="dxa"/>
          </w:tcPr>
          <w:p w14:paraId="6B7D003A" w14:textId="77777777" w:rsidR="003428B7" w:rsidRPr="00140151" w:rsidRDefault="00874EB8" w:rsidP="00675CCC">
            <w:pPr>
              <w:rPr>
                <w:rFonts w:ascii="Open Sans" w:hAnsi="Open Sans" w:cs="Open Sans"/>
              </w:rPr>
            </w:pPr>
            <w:r w:rsidRPr="00140151">
              <w:rPr>
                <w:rFonts w:ascii="Open Sans" w:hAnsi="Open Sans" w:cs="Open Sans"/>
              </w:rPr>
              <w:t>p. 40, 6.2.7</w:t>
            </w:r>
          </w:p>
        </w:tc>
        <w:tc>
          <w:tcPr>
            <w:tcW w:w="4050" w:type="dxa"/>
          </w:tcPr>
          <w:p w14:paraId="357EAD3A" w14:textId="77777777" w:rsidR="003428B7" w:rsidRPr="00140151" w:rsidRDefault="00874EB8" w:rsidP="00A50C63">
            <w:pPr>
              <w:autoSpaceDE w:val="0"/>
              <w:autoSpaceDN w:val="0"/>
              <w:adjustRightInd w:val="0"/>
              <w:rPr>
                <w:rFonts w:ascii="Open Sans" w:hAnsi="Open Sans" w:cs="Open Sans"/>
                <w:color w:val="000000"/>
              </w:rPr>
            </w:pPr>
            <w:r w:rsidRPr="00140151">
              <w:rPr>
                <w:rFonts w:ascii="Open Sans" w:hAnsi="Open Sans" w:cs="Open Sans"/>
                <w:color w:val="000000"/>
              </w:rPr>
              <w:t xml:space="preserve">SOAP-based Security. Each Qualified HIN’s SOAP-based servers shall conform to the connection authentication requirements as specified in </w:t>
            </w:r>
            <w:r w:rsidRPr="00140151">
              <w:rPr>
                <w:rFonts w:ascii="Open Sans" w:hAnsi="Open Sans" w:cs="Open Sans"/>
                <w:color w:val="000000" w:themeColor="text1"/>
              </w:rPr>
              <w:t xml:space="preserve">the IHE ATNA Integration Profile for Transport Authentication Security. </w:t>
            </w:r>
          </w:p>
        </w:tc>
        <w:tc>
          <w:tcPr>
            <w:tcW w:w="4140" w:type="dxa"/>
          </w:tcPr>
          <w:p w14:paraId="57C86329" w14:textId="77777777" w:rsidR="003428B7" w:rsidRPr="00140151" w:rsidRDefault="00874EB8" w:rsidP="00E80759">
            <w:pPr>
              <w:autoSpaceDE w:val="0"/>
              <w:autoSpaceDN w:val="0"/>
              <w:adjustRightInd w:val="0"/>
              <w:rPr>
                <w:rFonts w:ascii="Open Sans" w:hAnsi="Open Sans" w:cs="Open Sans"/>
              </w:rPr>
            </w:pPr>
            <w:r w:rsidRPr="00140151">
              <w:rPr>
                <w:rFonts w:ascii="Open Sans" w:hAnsi="Open Sans" w:cs="Open Sans"/>
                <w:color w:val="000000"/>
              </w:rPr>
              <w:t>The IIS transport standard of SOAP/WS and the CDC WSDL do not meet these more complex IHE standards. We request that the standard be loosened to include SOAP/WS and the CDC WSDL</w:t>
            </w:r>
            <w:r w:rsidR="00E441F3">
              <w:rPr>
                <w:rFonts w:ascii="Open Sans" w:hAnsi="Open Sans" w:cs="Open Sans"/>
                <w:color w:val="000000"/>
              </w:rPr>
              <w:t>, the transport standard for IIS</w:t>
            </w:r>
            <w:r w:rsidRPr="00140151">
              <w:rPr>
                <w:rFonts w:ascii="Open Sans" w:hAnsi="Open Sans" w:cs="Open Sans"/>
                <w:color w:val="000000"/>
              </w:rPr>
              <w:t xml:space="preserve">. </w:t>
            </w:r>
          </w:p>
        </w:tc>
      </w:tr>
      <w:tr w:rsidR="003428B7" w14:paraId="08A4B264" w14:textId="77777777" w:rsidTr="005B573E">
        <w:trPr>
          <w:cantSplit/>
        </w:trPr>
        <w:tc>
          <w:tcPr>
            <w:tcW w:w="1345" w:type="dxa"/>
          </w:tcPr>
          <w:p w14:paraId="7D04E0E8" w14:textId="77777777" w:rsidR="003428B7" w:rsidRPr="00140151" w:rsidRDefault="00874EB8" w:rsidP="00675CCC">
            <w:pPr>
              <w:rPr>
                <w:rFonts w:ascii="Open Sans" w:hAnsi="Open Sans" w:cs="Open Sans"/>
              </w:rPr>
            </w:pPr>
            <w:r w:rsidRPr="00140151">
              <w:rPr>
                <w:rFonts w:ascii="Open Sans" w:hAnsi="Open Sans" w:cs="Open Sans"/>
              </w:rPr>
              <w:lastRenderedPageBreak/>
              <w:t>p. 42, 6.2.8(ii)</w:t>
            </w:r>
          </w:p>
        </w:tc>
        <w:tc>
          <w:tcPr>
            <w:tcW w:w="4050" w:type="dxa"/>
          </w:tcPr>
          <w:p w14:paraId="3F351520" w14:textId="77777777" w:rsidR="003428B7" w:rsidRPr="00140151" w:rsidRDefault="0015774D" w:rsidP="00E80759">
            <w:pPr>
              <w:rPr>
                <w:rFonts w:ascii="Open Sans" w:hAnsi="Open Sans" w:cs="Open Sans"/>
                <w:color w:val="000000" w:themeColor="text1"/>
              </w:rPr>
            </w:pPr>
            <w:r w:rsidRPr="0015774D">
              <w:rPr>
                <w:rFonts w:ascii="Open Sans" w:hAnsi="Open Sans" w:cs="Open Sans"/>
                <w:color w:val="000000" w:themeColor="text1"/>
              </w:rPr>
              <w:t>The certificate authority’s certificate shall be issued by a mutually trusted certificate authority;</w:t>
            </w:r>
          </w:p>
        </w:tc>
        <w:tc>
          <w:tcPr>
            <w:tcW w:w="4140" w:type="dxa"/>
          </w:tcPr>
          <w:p w14:paraId="72783561" w14:textId="77777777" w:rsidR="003428B7" w:rsidRPr="00140151" w:rsidRDefault="00874EB8" w:rsidP="00E80759">
            <w:pPr>
              <w:autoSpaceDE w:val="0"/>
              <w:autoSpaceDN w:val="0"/>
              <w:adjustRightInd w:val="0"/>
              <w:rPr>
                <w:rFonts w:ascii="Open Sans" w:hAnsi="Open Sans" w:cs="Open Sans"/>
              </w:rPr>
            </w:pPr>
            <w:r w:rsidRPr="00140151">
              <w:rPr>
                <w:rFonts w:ascii="Open Sans" w:hAnsi="Open Sans" w:cs="Open Sans"/>
              </w:rPr>
              <w:t xml:space="preserve">It is not clear what is meant by a “mutually trusted certificate authority.” Digital certificates must be trusted by </w:t>
            </w:r>
            <w:r w:rsidRPr="00140151">
              <w:rPr>
                <w:rFonts w:ascii="Open Sans" w:hAnsi="Open Sans" w:cs="Open Sans"/>
                <w:i/>
              </w:rPr>
              <w:t>all</w:t>
            </w:r>
            <w:r w:rsidRPr="00140151">
              <w:rPr>
                <w:rFonts w:ascii="Open Sans" w:hAnsi="Open Sans" w:cs="Open Sans"/>
              </w:rPr>
              <w:t xml:space="preserve"> participants in health information exchange. Is this requirement stipulated that a </w:t>
            </w:r>
            <w:r w:rsidRPr="00140151">
              <w:rPr>
                <w:rFonts w:ascii="Open Sans" w:hAnsi="Open Sans" w:cs="Open Sans"/>
                <w:i/>
              </w:rPr>
              <w:t>participant’s</w:t>
            </w:r>
            <w:r w:rsidRPr="00140151">
              <w:rPr>
                <w:rFonts w:ascii="Open Sans" w:hAnsi="Open Sans" w:cs="Open Sans"/>
              </w:rPr>
              <w:t xml:space="preserve"> digital certificate must be trusted only by the Qualified HIN to which the participant has a connection?</w:t>
            </w:r>
          </w:p>
        </w:tc>
      </w:tr>
    </w:tbl>
    <w:p w14:paraId="315C6C63" w14:textId="77777777" w:rsidR="005031AB" w:rsidRPr="00773317" w:rsidRDefault="005031AB" w:rsidP="00874EB8"/>
    <w:sectPr w:rsidR="005031AB" w:rsidRPr="00773317" w:rsidSect="00AD1C0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C46F0" w14:textId="77777777" w:rsidR="00811F12" w:rsidRDefault="00811F12" w:rsidP="004D7596">
      <w:pPr>
        <w:spacing w:after="0" w:line="240" w:lineRule="auto"/>
      </w:pPr>
      <w:r>
        <w:separator/>
      </w:r>
    </w:p>
  </w:endnote>
  <w:endnote w:type="continuationSeparator" w:id="0">
    <w:p w14:paraId="3AA00EED" w14:textId="77777777" w:rsidR="00811F12" w:rsidRDefault="00811F12" w:rsidP="004D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2FF" w:usb1="5000205B" w:usb2="0000002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563372"/>
      <w:docPartObj>
        <w:docPartGallery w:val="Page Numbers (Bottom of Page)"/>
        <w:docPartUnique/>
      </w:docPartObj>
    </w:sdtPr>
    <w:sdtEndPr/>
    <w:sdtContent>
      <w:sdt>
        <w:sdtPr>
          <w:id w:val="-1769616900"/>
          <w:docPartObj>
            <w:docPartGallery w:val="Page Numbers (Top of Page)"/>
            <w:docPartUnique/>
          </w:docPartObj>
        </w:sdtPr>
        <w:sdtEndPr/>
        <w:sdtContent>
          <w:p w14:paraId="6D9315A8" w14:textId="0B242442" w:rsidR="00AB76E6" w:rsidRDefault="00A31640">
            <w:r w:rsidRPr="000E59CE">
              <w:rPr>
                <w:noProof/>
                <w:sz w:val="20"/>
                <w:szCs w:val="20"/>
              </w:rPr>
              <mc:AlternateContent>
                <mc:Choice Requires="wps">
                  <w:drawing>
                    <wp:anchor distT="45720" distB="45720" distL="114300" distR="114300" simplePos="0" relativeHeight="251661312" behindDoc="1" locked="0" layoutInCell="1" allowOverlap="1" wp14:anchorId="21CFBDD9" wp14:editId="1AAB28DD">
                      <wp:simplePos x="0" y="0"/>
                      <wp:positionH relativeFrom="margin">
                        <wp:align>left</wp:align>
                      </wp:positionH>
                      <wp:positionV relativeFrom="paragraph">
                        <wp:posOffset>-143510</wp:posOffset>
                      </wp:positionV>
                      <wp:extent cx="5010150" cy="600075"/>
                      <wp:effectExtent l="0" t="0" r="0" b="9525"/>
                      <wp:wrapTight wrapText="bothSides">
                        <wp:wrapPolygon edited="0">
                          <wp:start x="0" y="0"/>
                          <wp:lineTo x="0" y="21257"/>
                          <wp:lineTo x="21518" y="21257"/>
                          <wp:lineTo x="2151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00075"/>
                              </a:xfrm>
                              <a:prstGeom prst="rect">
                                <a:avLst/>
                              </a:prstGeom>
                              <a:solidFill>
                                <a:srgbClr val="FFFFFF"/>
                              </a:solidFill>
                              <a:ln w="9525">
                                <a:noFill/>
                                <a:miter lim="800000"/>
                                <a:headEnd/>
                                <a:tailEnd/>
                              </a:ln>
                            </wps:spPr>
                            <wps:txbx>
                              <w:txbxContent>
                                <w:p w14:paraId="660F1EC2" w14:textId="5FC56CDA" w:rsidR="00A31640" w:rsidRPr="00300384" w:rsidRDefault="00A31640" w:rsidP="00300384">
                                  <w:pPr>
                                    <w:spacing w:after="0" w:line="240" w:lineRule="auto"/>
                                    <w:rPr>
                                      <w:color w:val="595959" w:themeColor="text1" w:themeTint="A6"/>
                                      <w:sz w:val="20"/>
                                      <w:szCs w:val="20"/>
                                    </w:rPr>
                                  </w:pPr>
                                  <w:r w:rsidRPr="00300384">
                                    <w:rPr>
                                      <w:color w:val="595959" w:themeColor="text1" w:themeTint="A6"/>
                                      <w:sz w:val="20"/>
                                      <w:szCs w:val="20"/>
                                    </w:rPr>
                                    <w:t>American Immunization Registry Association</w:t>
                                  </w:r>
                                  <w:r w:rsidR="00373BFC">
                                    <w:rPr>
                                      <w:color w:val="595959" w:themeColor="text1" w:themeTint="A6"/>
                                      <w:sz w:val="20"/>
                                      <w:szCs w:val="20"/>
                                    </w:rPr>
                                    <w:t>:</w:t>
                                  </w:r>
                                  <w:r w:rsidRPr="00300384">
                                    <w:rPr>
                                      <w:color w:val="595959" w:themeColor="text1" w:themeTint="A6"/>
                                      <w:sz w:val="20"/>
                                      <w:szCs w:val="20"/>
                                    </w:rPr>
                                    <w:t xml:space="preserve"> Public Comment Response on Draft Trusted Exchange Framework and US Core Data for Interoperability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FBDD9" id="_x0000_t202" coordsize="21600,21600" o:spt="202" path="m,l,21600r21600,l21600,xe">
                      <v:stroke joinstyle="miter"/>
                      <v:path gradientshapeok="t" o:connecttype="rect"/>
                    </v:shapetype>
                    <v:shape id="Text Box 2" o:spid="_x0000_s1026" type="#_x0000_t202" style="position:absolute;margin-left:0;margin-top:-11.3pt;width:394.5pt;height:47.2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" stroked="f">
                      <v:textbox>
                        <w:txbxContent>
                          <w:p w14:paraId="660F1EC2" w14:textId="5FC56CDA" w:rsidR="00A31640" w:rsidRPr="00300384" w:rsidRDefault="00A31640" w:rsidP="00300384">
                            <w:pPr>
                              <w:spacing w:after="0" w:line="240" w:lineRule="auto"/>
                              <w:rPr>
                                <w:color w:val="595959" w:themeColor="text1" w:themeTint="A6"/>
                                <w:sz w:val="20"/>
                                <w:szCs w:val="20"/>
                              </w:rPr>
                            </w:pPr>
                            <w:r w:rsidRPr="00300384">
                              <w:rPr>
                                <w:color w:val="595959" w:themeColor="text1" w:themeTint="A6"/>
                                <w:sz w:val="20"/>
                                <w:szCs w:val="20"/>
                              </w:rPr>
                              <w:t>American Immunization Registry Association</w:t>
                            </w:r>
                            <w:r w:rsidR="00373BFC">
                              <w:rPr>
                                <w:color w:val="595959" w:themeColor="text1" w:themeTint="A6"/>
                                <w:sz w:val="20"/>
                                <w:szCs w:val="20"/>
                              </w:rPr>
                              <w:t>:</w:t>
                            </w:r>
                            <w:r w:rsidRPr="00300384">
                              <w:rPr>
                                <w:color w:val="595959" w:themeColor="text1" w:themeTint="A6"/>
                                <w:sz w:val="20"/>
                                <w:szCs w:val="20"/>
                              </w:rPr>
                              <w:t xml:space="preserve"> Public Comment Response on Draft Trusted Exchange Framework and US Core Data for Interoperability</w:t>
                            </w:r>
                          </w:p>
                        </w:txbxContent>
                      </v:textbox>
                      <w10:wrap type="tight" anchorx="margin"/>
                    </v:shape>
                  </w:pict>
                </mc:Fallback>
              </mc:AlternateContent>
            </w:r>
            <w:r w:rsidR="00AD1C08" w:rsidRPr="005B573E">
              <w:rPr>
                <w:sz w:val="20"/>
                <w:szCs w:val="20"/>
              </w:rPr>
              <w:t xml:space="preserve">Page </w:t>
            </w:r>
            <w:r w:rsidR="00AD1C08" w:rsidRPr="005B573E">
              <w:rPr>
                <w:bCs/>
                <w:sz w:val="20"/>
                <w:szCs w:val="20"/>
              </w:rPr>
              <w:fldChar w:fldCharType="begin"/>
            </w:r>
            <w:r w:rsidR="00AD1C08" w:rsidRPr="005B573E">
              <w:rPr>
                <w:bCs/>
                <w:sz w:val="20"/>
                <w:szCs w:val="20"/>
              </w:rPr>
              <w:instrText xml:space="preserve"> PAGE </w:instrText>
            </w:r>
            <w:r w:rsidR="00AD1C08" w:rsidRPr="005B573E">
              <w:rPr>
                <w:bCs/>
                <w:sz w:val="20"/>
                <w:szCs w:val="20"/>
              </w:rPr>
              <w:fldChar w:fldCharType="separate"/>
            </w:r>
            <w:r w:rsidR="00607C8E">
              <w:rPr>
                <w:bCs/>
                <w:noProof/>
                <w:sz w:val="20"/>
                <w:szCs w:val="20"/>
              </w:rPr>
              <w:t>14</w:t>
            </w:r>
            <w:r w:rsidR="00AD1C08" w:rsidRPr="005B573E">
              <w:rPr>
                <w:bCs/>
                <w:sz w:val="20"/>
                <w:szCs w:val="20"/>
              </w:rPr>
              <w:fldChar w:fldCharType="end"/>
            </w:r>
            <w:r w:rsidR="00AD1C08" w:rsidRPr="005B573E">
              <w:rPr>
                <w:sz w:val="20"/>
                <w:szCs w:val="20"/>
              </w:rPr>
              <w:t xml:space="preserve"> of </w:t>
            </w:r>
            <w:r w:rsidR="00AD1C08" w:rsidRPr="005B573E">
              <w:rPr>
                <w:bCs/>
                <w:sz w:val="20"/>
                <w:szCs w:val="20"/>
              </w:rPr>
              <w:fldChar w:fldCharType="begin"/>
            </w:r>
            <w:r w:rsidR="00AD1C08" w:rsidRPr="005B573E">
              <w:rPr>
                <w:bCs/>
                <w:sz w:val="20"/>
                <w:szCs w:val="20"/>
              </w:rPr>
              <w:instrText xml:space="preserve"> NUMPAGES  </w:instrText>
            </w:r>
            <w:r w:rsidR="00AD1C08" w:rsidRPr="005B573E">
              <w:rPr>
                <w:bCs/>
                <w:sz w:val="20"/>
                <w:szCs w:val="20"/>
              </w:rPr>
              <w:fldChar w:fldCharType="separate"/>
            </w:r>
            <w:r w:rsidR="00607C8E">
              <w:rPr>
                <w:bCs/>
                <w:noProof/>
                <w:sz w:val="20"/>
                <w:szCs w:val="20"/>
              </w:rPr>
              <w:t>14</w:t>
            </w:r>
            <w:r w:rsidR="00AD1C08" w:rsidRPr="005B573E">
              <w:rPr>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4A8DF" w14:textId="6C096EDC" w:rsidR="00240502" w:rsidRPr="00300384" w:rsidRDefault="000E59CE" w:rsidP="00240502">
    <w:pPr>
      <w:pStyle w:val="Footer"/>
      <w:jc w:val="right"/>
      <w:rPr>
        <w:sz w:val="20"/>
        <w:szCs w:val="20"/>
      </w:rPr>
    </w:pPr>
    <w:r w:rsidRPr="000E59CE">
      <w:rPr>
        <w:noProof/>
        <w:sz w:val="20"/>
        <w:szCs w:val="20"/>
      </w:rPr>
      <mc:AlternateContent>
        <mc:Choice Requires="wps">
          <w:drawing>
            <wp:anchor distT="45720" distB="45720" distL="114300" distR="114300" simplePos="0" relativeHeight="251659264" behindDoc="1" locked="0" layoutInCell="1" allowOverlap="1" wp14:anchorId="0DEEE42C" wp14:editId="5808976B">
              <wp:simplePos x="0" y="0"/>
              <wp:positionH relativeFrom="margin">
                <wp:align>left</wp:align>
              </wp:positionH>
              <wp:positionV relativeFrom="paragraph">
                <wp:posOffset>-151130</wp:posOffset>
              </wp:positionV>
              <wp:extent cx="5010150" cy="600075"/>
              <wp:effectExtent l="0" t="0" r="0" b="9525"/>
              <wp:wrapTight wrapText="bothSides">
                <wp:wrapPolygon edited="0">
                  <wp:start x="0" y="0"/>
                  <wp:lineTo x="0" y="21257"/>
                  <wp:lineTo x="21518" y="21257"/>
                  <wp:lineTo x="215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00075"/>
                      </a:xfrm>
                      <a:prstGeom prst="rect">
                        <a:avLst/>
                      </a:prstGeom>
                      <a:solidFill>
                        <a:srgbClr val="FFFFFF"/>
                      </a:solidFill>
                      <a:ln w="9525">
                        <a:noFill/>
                        <a:miter lim="800000"/>
                        <a:headEnd/>
                        <a:tailEnd/>
                      </a:ln>
                    </wps:spPr>
                    <wps:txbx>
                      <w:txbxContent>
                        <w:p w14:paraId="6F55C5F3" w14:textId="21E235F2" w:rsidR="000E59CE" w:rsidRPr="00300384" w:rsidRDefault="000E59CE" w:rsidP="00300384">
                          <w:pPr>
                            <w:spacing w:after="0" w:line="240" w:lineRule="auto"/>
                            <w:rPr>
                              <w:color w:val="595959" w:themeColor="text1" w:themeTint="A6"/>
                              <w:sz w:val="20"/>
                              <w:szCs w:val="20"/>
                            </w:rPr>
                          </w:pPr>
                          <w:r w:rsidRPr="00300384">
                            <w:rPr>
                              <w:color w:val="595959" w:themeColor="text1" w:themeTint="A6"/>
                              <w:sz w:val="20"/>
                              <w:szCs w:val="20"/>
                            </w:rPr>
                            <w:t>American Immunization Registry Association</w:t>
                          </w:r>
                          <w:r w:rsidR="00373BFC">
                            <w:rPr>
                              <w:color w:val="595959" w:themeColor="text1" w:themeTint="A6"/>
                              <w:sz w:val="20"/>
                              <w:szCs w:val="20"/>
                            </w:rPr>
                            <w:t>:</w:t>
                          </w:r>
                          <w:r w:rsidRPr="00300384">
                            <w:rPr>
                              <w:color w:val="595959" w:themeColor="text1" w:themeTint="A6"/>
                              <w:sz w:val="20"/>
                              <w:szCs w:val="20"/>
                            </w:rPr>
                            <w:t xml:space="preserve"> Public Comment Response on Draft Trusted Exchange Framework and US Core Data for Interoperability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EE42C" id="_x0000_t202" coordsize="21600,21600" o:spt="202" path="m,l,21600r21600,l21600,xe">
              <v:stroke joinstyle="miter"/>
              <v:path gradientshapeok="t" o:connecttype="rect"/>
            </v:shapetype>
            <v:shape id="_x0000_s1027" type="#_x0000_t202" style="position:absolute;left:0;text-align:left;margin-left:0;margin-top:-11.9pt;width:394.5pt;height:47.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" stroked="f">
              <v:textbox>
                <w:txbxContent>
                  <w:p w14:paraId="6F55C5F3" w14:textId="21E235F2" w:rsidR="000E59CE" w:rsidRPr="00300384" w:rsidRDefault="000E59CE" w:rsidP="00300384">
                    <w:pPr>
                      <w:spacing w:after="0" w:line="240" w:lineRule="auto"/>
                      <w:rPr>
                        <w:color w:val="595959" w:themeColor="text1" w:themeTint="A6"/>
                        <w:sz w:val="20"/>
                        <w:szCs w:val="20"/>
                      </w:rPr>
                    </w:pPr>
                    <w:r w:rsidRPr="00300384">
                      <w:rPr>
                        <w:color w:val="595959" w:themeColor="text1" w:themeTint="A6"/>
                        <w:sz w:val="20"/>
                        <w:szCs w:val="20"/>
                      </w:rPr>
                      <w:t>American Immunization Registry Association</w:t>
                    </w:r>
                    <w:r w:rsidR="00373BFC">
                      <w:rPr>
                        <w:color w:val="595959" w:themeColor="text1" w:themeTint="A6"/>
                        <w:sz w:val="20"/>
                        <w:szCs w:val="20"/>
                      </w:rPr>
                      <w:t>:</w:t>
                    </w:r>
                    <w:r w:rsidRPr="00300384">
                      <w:rPr>
                        <w:color w:val="595959" w:themeColor="text1" w:themeTint="A6"/>
                        <w:sz w:val="20"/>
                        <w:szCs w:val="20"/>
                      </w:rPr>
                      <w:t xml:space="preserve"> Public Comment Response on Draft Trusted Exchange Framework and US Core Data for Interoperability</w:t>
                    </w:r>
                  </w:p>
                </w:txbxContent>
              </v:textbox>
              <w10:wrap type="tight" anchorx="margin"/>
            </v:shape>
          </w:pict>
        </mc:Fallback>
      </mc:AlternateContent>
    </w:r>
    <w:r w:rsidR="00240502" w:rsidRPr="00300384">
      <w:rPr>
        <w:sz w:val="20"/>
        <w:szCs w:val="20"/>
      </w:rPr>
      <w:t xml:space="preserve">Page </w:t>
    </w:r>
    <w:r w:rsidR="00240502" w:rsidRPr="00300384">
      <w:rPr>
        <w:bCs/>
        <w:sz w:val="20"/>
        <w:szCs w:val="20"/>
      </w:rPr>
      <w:fldChar w:fldCharType="begin"/>
    </w:r>
    <w:r w:rsidR="00240502" w:rsidRPr="00300384">
      <w:rPr>
        <w:bCs/>
        <w:sz w:val="20"/>
        <w:szCs w:val="20"/>
      </w:rPr>
      <w:instrText xml:space="preserve"> PAGE </w:instrText>
    </w:r>
    <w:r w:rsidR="00240502" w:rsidRPr="00300384">
      <w:rPr>
        <w:bCs/>
        <w:sz w:val="20"/>
        <w:szCs w:val="20"/>
      </w:rPr>
      <w:fldChar w:fldCharType="separate"/>
    </w:r>
    <w:r w:rsidR="00607C8E">
      <w:rPr>
        <w:bCs/>
        <w:noProof/>
        <w:sz w:val="20"/>
        <w:szCs w:val="20"/>
      </w:rPr>
      <w:t>1</w:t>
    </w:r>
    <w:r w:rsidR="00240502" w:rsidRPr="00300384">
      <w:rPr>
        <w:bCs/>
        <w:sz w:val="20"/>
        <w:szCs w:val="20"/>
      </w:rPr>
      <w:fldChar w:fldCharType="end"/>
    </w:r>
    <w:r w:rsidR="00240502" w:rsidRPr="00300384">
      <w:rPr>
        <w:sz w:val="20"/>
        <w:szCs w:val="20"/>
      </w:rPr>
      <w:t xml:space="preserve"> of </w:t>
    </w:r>
    <w:r w:rsidR="00240502" w:rsidRPr="00300384">
      <w:rPr>
        <w:bCs/>
        <w:sz w:val="20"/>
        <w:szCs w:val="20"/>
      </w:rPr>
      <w:fldChar w:fldCharType="begin"/>
    </w:r>
    <w:r w:rsidR="00240502" w:rsidRPr="00300384">
      <w:rPr>
        <w:bCs/>
        <w:sz w:val="20"/>
        <w:szCs w:val="20"/>
      </w:rPr>
      <w:instrText xml:space="preserve"> NUMPAGES  </w:instrText>
    </w:r>
    <w:r w:rsidR="00240502" w:rsidRPr="00300384">
      <w:rPr>
        <w:bCs/>
        <w:sz w:val="20"/>
        <w:szCs w:val="20"/>
      </w:rPr>
      <w:fldChar w:fldCharType="separate"/>
    </w:r>
    <w:r w:rsidR="00607C8E">
      <w:rPr>
        <w:bCs/>
        <w:noProof/>
        <w:sz w:val="20"/>
        <w:szCs w:val="20"/>
      </w:rPr>
      <w:t>14</w:t>
    </w:r>
    <w:r w:rsidR="00240502" w:rsidRPr="00300384">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0D3B4" w14:textId="77777777" w:rsidR="00811F12" w:rsidRDefault="00811F12" w:rsidP="004D7596">
      <w:pPr>
        <w:spacing w:after="0" w:line="240" w:lineRule="auto"/>
      </w:pPr>
      <w:r>
        <w:separator/>
      </w:r>
    </w:p>
  </w:footnote>
  <w:footnote w:type="continuationSeparator" w:id="0">
    <w:p w14:paraId="433BC531" w14:textId="77777777" w:rsidR="00811F12" w:rsidRDefault="00811F12" w:rsidP="004D7596">
      <w:pPr>
        <w:spacing w:after="0" w:line="240" w:lineRule="auto"/>
      </w:pPr>
      <w:r>
        <w:continuationSeparator/>
      </w:r>
    </w:p>
  </w:footnote>
  <w:footnote w:id="1">
    <w:p w14:paraId="03F94B39" w14:textId="77777777" w:rsidR="00AD1C08" w:rsidRDefault="00AD1C08">
      <w:pPr>
        <w:pStyle w:val="FootnoteText"/>
      </w:pPr>
      <w:r>
        <w:rPr>
          <w:rStyle w:val="FootnoteReference"/>
        </w:rPr>
        <w:footnoteRef/>
      </w:r>
      <w:r>
        <w:t xml:space="preserve"> </w:t>
      </w:r>
      <w:r w:rsidRPr="00CC3213">
        <w:rPr>
          <w:rFonts w:ascii="Open Sans" w:hAnsi="Open Sans" w:cs="Open Sans"/>
          <w:iCs/>
          <w:sz w:val="22"/>
          <w:szCs w:val="22"/>
        </w:rPr>
        <w:t>https://www.cdc.gov/mmwr/volumes/66/wr/mm6643a4.htm</w:t>
      </w:r>
    </w:p>
  </w:footnote>
  <w:footnote w:id="2">
    <w:p w14:paraId="0DC78282" w14:textId="77777777" w:rsidR="00AD1C08" w:rsidRDefault="00AD1C08">
      <w:pPr>
        <w:pStyle w:val="FootnoteText"/>
      </w:pPr>
      <w:r>
        <w:rPr>
          <w:rStyle w:val="FootnoteReference"/>
        </w:rPr>
        <w:footnoteRef/>
      </w:r>
      <w:r>
        <w:t xml:space="preserve"> </w:t>
      </w:r>
      <w:r w:rsidRPr="00CC3213">
        <w:rPr>
          <w:rFonts w:ascii="Open Sans" w:hAnsi="Open Sans" w:cs="Open Sans"/>
          <w:sz w:val="22"/>
          <w:szCs w:val="22"/>
        </w:rPr>
        <w:t>http://www.immregistries.org/initiatives/measurement-and-improvement-initiative</w:t>
      </w:r>
    </w:p>
  </w:footnote>
  <w:footnote w:id="3">
    <w:p w14:paraId="39E65C91" w14:textId="77777777" w:rsidR="00AD1C08" w:rsidRDefault="00AD1C08">
      <w:pPr>
        <w:pStyle w:val="FootnoteText"/>
      </w:pPr>
      <w:r>
        <w:rPr>
          <w:rStyle w:val="FootnoteReference"/>
        </w:rPr>
        <w:footnoteRef/>
      </w:r>
      <w:r>
        <w:t xml:space="preserve"> </w:t>
      </w:r>
      <w:r w:rsidRPr="00CC3213">
        <w:rPr>
          <w:rFonts w:ascii="Open Sans" w:hAnsi="Open Sans" w:cs="Open Sans"/>
          <w:sz w:val="22"/>
          <w:szCs w:val="22"/>
        </w:rPr>
        <w:t>https://www.apha.org/what-is-public-health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DE2C" w14:textId="2BAE9DFD" w:rsidR="00AD1C08" w:rsidRPr="00373BFC" w:rsidRDefault="00AD1C08" w:rsidP="006B6689">
    <w:pPr>
      <w:pStyle w:val="Header"/>
      <w:jc w:val="right"/>
      <w:rPr>
        <w:rFonts w:ascii="Open Sans Light" w:hAnsi="Open Sans Light" w:cs="Open Sans Light"/>
      </w:rPr>
    </w:pPr>
    <w:r w:rsidRPr="00373BFC">
      <w:rPr>
        <w:rFonts w:ascii="Open Sans Light" w:hAnsi="Open Sans Light" w:cs="Open Sans Light"/>
        <w:noProof/>
      </w:rPr>
      <w:drawing>
        <wp:anchor distT="0" distB="0" distL="114300" distR="114300" simplePos="0" relativeHeight="251657216" behindDoc="1" locked="0" layoutInCell="1" allowOverlap="1" wp14:anchorId="73A9F9F8" wp14:editId="5AE7A6DD">
          <wp:simplePos x="0" y="0"/>
          <wp:positionH relativeFrom="margin">
            <wp:align>left</wp:align>
          </wp:positionH>
          <wp:positionV relativeFrom="paragraph">
            <wp:posOffset>10160</wp:posOffset>
          </wp:positionV>
          <wp:extent cx="1885950" cy="770890"/>
          <wp:effectExtent l="0" t="0" r="0" b="0"/>
          <wp:wrapTight wrapText="bothSides">
            <wp:wrapPolygon edited="0">
              <wp:start x="0" y="0"/>
              <wp:lineTo x="0" y="20817"/>
              <wp:lineTo x="21382" y="20817"/>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A Logo Small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770890"/>
                  </a:xfrm>
                  <a:prstGeom prst="rect">
                    <a:avLst/>
                  </a:prstGeom>
                </pic:spPr>
              </pic:pic>
            </a:graphicData>
          </a:graphic>
          <wp14:sizeRelH relativeFrom="page">
            <wp14:pctWidth>0</wp14:pctWidth>
          </wp14:sizeRelH>
          <wp14:sizeRelV relativeFrom="page">
            <wp14:pctHeight>0</wp14:pctHeight>
          </wp14:sizeRelV>
        </wp:anchor>
      </w:drawing>
    </w:r>
    <w:r w:rsidRPr="00373BFC">
      <w:rPr>
        <w:rFonts w:ascii="Open Sans Light" w:hAnsi="Open Sans Light" w:cs="Open Sans Light"/>
      </w:rPr>
      <w:t>The American Immunization Registry Association</w:t>
    </w:r>
  </w:p>
  <w:p w14:paraId="38DA30A0" w14:textId="77777777" w:rsidR="00AD1C08" w:rsidRPr="00373BFC" w:rsidRDefault="00AD1C08" w:rsidP="006B6689">
    <w:pPr>
      <w:pStyle w:val="Header"/>
      <w:jc w:val="right"/>
      <w:rPr>
        <w:rFonts w:ascii="Open Sans Light" w:hAnsi="Open Sans Light" w:cs="Open Sans Light"/>
      </w:rPr>
    </w:pPr>
    <w:r w:rsidRPr="00373BFC">
      <w:rPr>
        <w:rFonts w:ascii="Open Sans Light" w:hAnsi="Open Sans Light" w:cs="Open Sans Light"/>
      </w:rPr>
      <w:t xml:space="preserve">1155 F Street, Suite 1050 </w:t>
    </w:r>
  </w:p>
  <w:p w14:paraId="25884085" w14:textId="77777777" w:rsidR="00AD1C08" w:rsidRPr="00373BFC" w:rsidRDefault="00AD1C08" w:rsidP="006B6689">
    <w:pPr>
      <w:pStyle w:val="Header"/>
      <w:jc w:val="right"/>
      <w:rPr>
        <w:rFonts w:ascii="Open Sans Light" w:hAnsi="Open Sans Light" w:cs="Open Sans Light"/>
        <w:b/>
        <w:color w:val="4B8B4D" w:themeColor="accent4" w:themeShade="80"/>
        <w:sz w:val="24"/>
      </w:rPr>
    </w:pPr>
    <w:r w:rsidRPr="00373BFC">
      <w:rPr>
        <w:rFonts w:ascii="Open Sans Light" w:hAnsi="Open Sans Light" w:cs="Open Sans Light"/>
      </w:rPr>
      <w:t xml:space="preserve"> Washington, D.C. 20004</w:t>
    </w:r>
  </w:p>
  <w:p w14:paraId="771FF259" w14:textId="77777777" w:rsidR="00AD1C08" w:rsidRPr="00373BFC" w:rsidRDefault="00AD1C08" w:rsidP="006B6689">
    <w:pPr>
      <w:pStyle w:val="Header"/>
      <w:jc w:val="right"/>
      <w:rPr>
        <w:rFonts w:ascii="Open Sans Light" w:hAnsi="Open Sans Light" w:cs="Open Sans Light"/>
      </w:rPr>
    </w:pPr>
    <w:r w:rsidRPr="00373BFC">
      <w:rPr>
        <w:rFonts w:ascii="Open Sans Light" w:hAnsi="Open Sans Light" w:cs="Open Sans Light"/>
      </w:rPr>
      <w:t>(202) 552-0208</w:t>
    </w:r>
  </w:p>
  <w:p w14:paraId="1FA13DD7" w14:textId="77777777" w:rsidR="00AD1C08" w:rsidRDefault="00AD1C08">
    <w:pPr>
      <w:pStyle w:val="Header"/>
    </w:pPr>
  </w:p>
  <w:p w14:paraId="07CE1E2D" w14:textId="77777777" w:rsidR="00AD1C08" w:rsidRDefault="00AD1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62BDCF"/>
    <w:multiLevelType w:val="hybridMultilevel"/>
    <w:tmpl w:val="7FDBFD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544097"/>
    <w:multiLevelType w:val="hybridMultilevel"/>
    <w:tmpl w:val="7552AF2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65454A"/>
    <w:multiLevelType w:val="hybridMultilevel"/>
    <w:tmpl w:val="42D8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14B81"/>
    <w:multiLevelType w:val="hybridMultilevel"/>
    <w:tmpl w:val="CD3DD2E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41D52CC"/>
    <w:multiLevelType w:val="hybridMultilevel"/>
    <w:tmpl w:val="3F4CA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36220"/>
    <w:multiLevelType w:val="hybridMultilevel"/>
    <w:tmpl w:val="A48E8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245E0"/>
    <w:multiLevelType w:val="hybridMultilevel"/>
    <w:tmpl w:val="AC3C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B4FEF"/>
    <w:multiLevelType w:val="multilevel"/>
    <w:tmpl w:val="730E45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D35B86"/>
    <w:multiLevelType w:val="hybridMultilevel"/>
    <w:tmpl w:val="B80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14190"/>
    <w:multiLevelType w:val="multilevel"/>
    <w:tmpl w:val="0062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514FE8"/>
    <w:multiLevelType w:val="hybridMultilevel"/>
    <w:tmpl w:val="88B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96C7D"/>
    <w:multiLevelType w:val="multilevel"/>
    <w:tmpl w:val="77C6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B5022"/>
    <w:multiLevelType w:val="hybridMultilevel"/>
    <w:tmpl w:val="037AC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07668"/>
    <w:multiLevelType w:val="hybridMultilevel"/>
    <w:tmpl w:val="82D82E38"/>
    <w:lvl w:ilvl="0" w:tplc="A4886D86">
      <w:start w:val="1"/>
      <w:numFmt w:val="bullet"/>
      <w:lvlText w:val=" "/>
      <w:lvlJc w:val="left"/>
      <w:pPr>
        <w:tabs>
          <w:tab w:val="num" w:pos="720"/>
        </w:tabs>
        <w:ind w:left="720" w:hanging="360"/>
      </w:pPr>
      <w:rPr>
        <w:rFonts w:ascii="Calibri" w:hAnsi="Calibri" w:hint="default"/>
      </w:rPr>
    </w:lvl>
    <w:lvl w:ilvl="1" w:tplc="4C828E44" w:tentative="1">
      <w:start w:val="1"/>
      <w:numFmt w:val="bullet"/>
      <w:lvlText w:val=" "/>
      <w:lvlJc w:val="left"/>
      <w:pPr>
        <w:tabs>
          <w:tab w:val="num" w:pos="1440"/>
        </w:tabs>
        <w:ind w:left="1440" w:hanging="360"/>
      </w:pPr>
      <w:rPr>
        <w:rFonts w:ascii="Calibri" w:hAnsi="Calibri" w:hint="default"/>
      </w:rPr>
    </w:lvl>
    <w:lvl w:ilvl="2" w:tplc="4E1CD61C" w:tentative="1">
      <w:start w:val="1"/>
      <w:numFmt w:val="bullet"/>
      <w:lvlText w:val=" "/>
      <w:lvlJc w:val="left"/>
      <w:pPr>
        <w:tabs>
          <w:tab w:val="num" w:pos="2160"/>
        </w:tabs>
        <w:ind w:left="2160" w:hanging="360"/>
      </w:pPr>
      <w:rPr>
        <w:rFonts w:ascii="Calibri" w:hAnsi="Calibri" w:hint="default"/>
      </w:rPr>
    </w:lvl>
    <w:lvl w:ilvl="3" w:tplc="87927B4E" w:tentative="1">
      <w:start w:val="1"/>
      <w:numFmt w:val="bullet"/>
      <w:lvlText w:val=" "/>
      <w:lvlJc w:val="left"/>
      <w:pPr>
        <w:tabs>
          <w:tab w:val="num" w:pos="2880"/>
        </w:tabs>
        <w:ind w:left="2880" w:hanging="360"/>
      </w:pPr>
      <w:rPr>
        <w:rFonts w:ascii="Calibri" w:hAnsi="Calibri" w:hint="default"/>
      </w:rPr>
    </w:lvl>
    <w:lvl w:ilvl="4" w:tplc="03A08866" w:tentative="1">
      <w:start w:val="1"/>
      <w:numFmt w:val="bullet"/>
      <w:lvlText w:val=" "/>
      <w:lvlJc w:val="left"/>
      <w:pPr>
        <w:tabs>
          <w:tab w:val="num" w:pos="3600"/>
        </w:tabs>
        <w:ind w:left="3600" w:hanging="360"/>
      </w:pPr>
      <w:rPr>
        <w:rFonts w:ascii="Calibri" w:hAnsi="Calibri" w:hint="default"/>
      </w:rPr>
    </w:lvl>
    <w:lvl w:ilvl="5" w:tplc="272039D6" w:tentative="1">
      <w:start w:val="1"/>
      <w:numFmt w:val="bullet"/>
      <w:lvlText w:val=" "/>
      <w:lvlJc w:val="left"/>
      <w:pPr>
        <w:tabs>
          <w:tab w:val="num" w:pos="4320"/>
        </w:tabs>
        <w:ind w:left="4320" w:hanging="360"/>
      </w:pPr>
      <w:rPr>
        <w:rFonts w:ascii="Calibri" w:hAnsi="Calibri" w:hint="default"/>
      </w:rPr>
    </w:lvl>
    <w:lvl w:ilvl="6" w:tplc="3CC24110" w:tentative="1">
      <w:start w:val="1"/>
      <w:numFmt w:val="bullet"/>
      <w:lvlText w:val=" "/>
      <w:lvlJc w:val="left"/>
      <w:pPr>
        <w:tabs>
          <w:tab w:val="num" w:pos="5040"/>
        </w:tabs>
        <w:ind w:left="5040" w:hanging="360"/>
      </w:pPr>
      <w:rPr>
        <w:rFonts w:ascii="Calibri" w:hAnsi="Calibri" w:hint="default"/>
      </w:rPr>
    </w:lvl>
    <w:lvl w:ilvl="7" w:tplc="853274D8" w:tentative="1">
      <w:start w:val="1"/>
      <w:numFmt w:val="bullet"/>
      <w:lvlText w:val=" "/>
      <w:lvlJc w:val="left"/>
      <w:pPr>
        <w:tabs>
          <w:tab w:val="num" w:pos="5760"/>
        </w:tabs>
        <w:ind w:left="5760" w:hanging="360"/>
      </w:pPr>
      <w:rPr>
        <w:rFonts w:ascii="Calibri" w:hAnsi="Calibri" w:hint="default"/>
      </w:rPr>
    </w:lvl>
    <w:lvl w:ilvl="8" w:tplc="041AAC34"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426E0705"/>
    <w:multiLevelType w:val="hybridMultilevel"/>
    <w:tmpl w:val="9D8AD5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8036941"/>
    <w:multiLevelType w:val="hybridMultilevel"/>
    <w:tmpl w:val="8336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80297"/>
    <w:multiLevelType w:val="hybridMultilevel"/>
    <w:tmpl w:val="18C8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62E1D"/>
    <w:multiLevelType w:val="hybridMultilevel"/>
    <w:tmpl w:val="9C76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25F5A"/>
    <w:multiLevelType w:val="hybridMultilevel"/>
    <w:tmpl w:val="955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E5F91"/>
    <w:multiLevelType w:val="hybridMultilevel"/>
    <w:tmpl w:val="E7E845E0"/>
    <w:lvl w:ilvl="0" w:tplc="9F7608C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C0FF90"/>
    <w:multiLevelType w:val="hybridMultilevel"/>
    <w:tmpl w:val="93E399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691DE3"/>
    <w:multiLevelType w:val="hybridMultilevel"/>
    <w:tmpl w:val="1130BC3C"/>
    <w:lvl w:ilvl="0" w:tplc="4F1C6E14">
      <w:start w:val="1"/>
      <w:numFmt w:val="bullet"/>
      <w:lvlText w:val=""/>
      <w:lvlJc w:val="left"/>
      <w:pPr>
        <w:ind w:left="720" w:hanging="360"/>
      </w:pPr>
      <w:rPr>
        <w:rFonts w:ascii="Symbol" w:eastAsia="Calibri" w:hAnsi="Symbol" w:cs="Times New Roman"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B44675B"/>
    <w:multiLevelType w:val="hybridMultilevel"/>
    <w:tmpl w:val="D86E9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C875C7"/>
    <w:multiLevelType w:val="hybridMultilevel"/>
    <w:tmpl w:val="98162CF0"/>
    <w:lvl w:ilvl="0" w:tplc="D98A4146">
      <w:start w:val="16"/>
      <w:numFmt w:val="bullet"/>
      <w:lvlText w:val="-"/>
      <w:lvlJc w:val="left"/>
      <w:pPr>
        <w:ind w:left="420" w:hanging="360"/>
      </w:pPr>
      <w:rPr>
        <w:rFonts w:ascii="Century Gothic" w:eastAsiaTheme="minorHAnsi" w:hAnsi="Century Gothic"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72C36F04"/>
    <w:multiLevelType w:val="hybridMultilevel"/>
    <w:tmpl w:val="7BB6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C1C81"/>
    <w:multiLevelType w:val="hybridMultilevel"/>
    <w:tmpl w:val="8570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42627"/>
    <w:multiLevelType w:val="hybridMultilevel"/>
    <w:tmpl w:val="A5C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5"/>
  </w:num>
  <w:num w:numId="4">
    <w:abstractNumId w:val="17"/>
  </w:num>
  <w:num w:numId="5">
    <w:abstractNumId w:val="15"/>
  </w:num>
  <w:num w:numId="6">
    <w:abstractNumId w:val="6"/>
  </w:num>
  <w:num w:numId="7">
    <w:abstractNumId w:val="8"/>
  </w:num>
  <w:num w:numId="8">
    <w:abstractNumId w:val="24"/>
  </w:num>
  <w:num w:numId="9">
    <w:abstractNumId w:val="26"/>
  </w:num>
  <w:num w:numId="10">
    <w:abstractNumId w:val="18"/>
  </w:num>
  <w:num w:numId="11">
    <w:abstractNumId w:val="0"/>
  </w:num>
  <w:num w:numId="12">
    <w:abstractNumId w:val="4"/>
  </w:num>
  <w:num w:numId="13">
    <w:abstractNumId w:val="20"/>
  </w:num>
  <w:num w:numId="14">
    <w:abstractNumId w:val="14"/>
  </w:num>
  <w:num w:numId="15">
    <w:abstractNumId w:val="12"/>
  </w:num>
  <w:num w:numId="16">
    <w:abstractNumId w:val="21"/>
    <w:lvlOverride w:ilvl="0"/>
    <w:lvlOverride w:ilvl="1">
      <w:startOverride w:val="1"/>
    </w:lvlOverride>
    <w:lvlOverride w:ilvl="2"/>
    <w:lvlOverride w:ilvl="3"/>
    <w:lvlOverride w:ilvl="4"/>
    <w:lvlOverride w:ilvl="5"/>
    <w:lvlOverride w:ilvl="6"/>
    <w:lvlOverride w:ilvl="7"/>
    <w:lvlOverride w:ilvl="8"/>
  </w:num>
  <w:num w:numId="17">
    <w:abstractNumId w:val="19"/>
  </w:num>
  <w:num w:numId="18">
    <w:abstractNumId w:val="16"/>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
  </w:num>
  <w:num w:numId="22">
    <w:abstractNumId w:val="7"/>
  </w:num>
  <w:num w:numId="23">
    <w:abstractNumId w:val="22"/>
  </w:num>
  <w:num w:numId="24">
    <w:abstractNumId w:val="9"/>
  </w:num>
  <w:num w:numId="25">
    <w:abstractNumId w:val="9"/>
    <w:lvlOverride w:ilvl="0">
      <w:lvl w:ilvl="0">
        <w:numFmt w:val="decimal"/>
        <w:lvlText w:val=""/>
        <w:lvlJc w:val="left"/>
      </w:lvl>
    </w:lvlOverride>
    <w:lvlOverride w:ilvl="1">
      <w:lvl w:ilvl="1">
        <w:numFmt w:val="decimal"/>
        <w:lvlText w:val=""/>
        <w:lvlJc w:val="left"/>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abstractNumId w:val="9"/>
    <w:lvlOverride w:ilvl="0">
      <w:lvl w:ilvl="0">
        <w:numFmt w:val="decimal"/>
        <w:lvlText w:val=""/>
        <w:lvlJc w:val="left"/>
      </w:lvl>
    </w:lvlOverride>
    <w:lvlOverride w:ilvl="1">
      <w:lvl w:ilvl="1">
        <w:numFmt w:val="decimal"/>
        <w:lvlText w:val=""/>
        <w:lvlJc w:val="left"/>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9"/>
    <w:lvlOverride w:ilvl="0">
      <w:lvl w:ilvl="0">
        <w:numFmt w:val="decimal"/>
        <w:lvlText w:val=""/>
        <w:lvlJc w:val="left"/>
      </w:lvl>
    </w:lvlOverride>
    <w:lvlOverride w:ilvl="1">
      <w:lvl w:ilvl="1">
        <w:numFmt w:val="decimal"/>
        <w:lvlText w:val=""/>
        <w:lvlJc w:val="left"/>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9"/>
    <w:lvlOverride w:ilvl="0">
      <w:lvl w:ilvl="0">
        <w:numFmt w:val="decimal"/>
        <w:lvlText w:val=""/>
        <w:lvlJc w:val="left"/>
      </w:lvl>
    </w:lvlOverride>
    <w:lvlOverride w:ilvl="1">
      <w:lvl w:ilvl="1">
        <w:numFmt w:val="decimal"/>
        <w:lvlText w:val=""/>
        <w:lvlJc w:val="left"/>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9"/>
    <w:lvlOverride w:ilvl="0">
      <w:lvl w:ilvl="0">
        <w:numFmt w:val="decimal"/>
        <w:lvlText w:val=""/>
        <w:lvlJc w:val="left"/>
      </w:lvl>
    </w:lvlOverride>
    <w:lvlOverride w:ilvl="1">
      <w:lvl w:ilvl="1">
        <w:numFmt w:val="decimal"/>
        <w:lvlText w:val=""/>
        <w:lvlJc w:val="left"/>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9"/>
    <w:lvlOverride w:ilvl="0">
      <w:lvl w:ilvl="0">
        <w:numFmt w:val="decimal"/>
        <w:lvlText w:val=""/>
        <w:lvlJc w:val="left"/>
      </w:lvl>
    </w:lvlOverride>
    <w:lvlOverride w:ilvl="1">
      <w:lvl w:ilvl="1">
        <w:numFmt w:val="decimal"/>
        <w:lvlText w:val=""/>
        <w:lvlJc w:val="left"/>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23"/>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96"/>
    <w:rsid w:val="00000EDF"/>
    <w:rsid w:val="000017A2"/>
    <w:rsid w:val="0001781F"/>
    <w:rsid w:val="00025DE1"/>
    <w:rsid w:val="00036464"/>
    <w:rsid w:val="00052DAD"/>
    <w:rsid w:val="000651F9"/>
    <w:rsid w:val="0006582F"/>
    <w:rsid w:val="000751A5"/>
    <w:rsid w:val="000A3092"/>
    <w:rsid w:val="000B045C"/>
    <w:rsid w:val="000B1FB5"/>
    <w:rsid w:val="000B32F2"/>
    <w:rsid w:val="000C7173"/>
    <w:rsid w:val="000C72BD"/>
    <w:rsid w:val="000C7CF8"/>
    <w:rsid w:val="000D3C7E"/>
    <w:rsid w:val="000D669F"/>
    <w:rsid w:val="000E59CE"/>
    <w:rsid w:val="000F1938"/>
    <w:rsid w:val="000F25C2"/>
    <w:rsid w:val="000F7326"/>
    <w:rsid w:val="00100DFF"/>
    <w:rsid w:val="00100FCD"/>
    <w:rsid w:val="0010248F"/>
    <w:rsid w:val="00104D57"/>
    <w:rsid w:val="00116CB6"/>
    <w:rsid w:val="00124220"/>
    <w:rsid w:val="00124F64"/>
    <w:rsid w:val="001366F2"/>
    <w:rsid w:val="00140151"/>
    <w:rsid w:val="0015774D"/>
    <w:rsid w:val="001801B5"/>
    <w:rsid w:val="001B1C51"/>
    <w:rsid w:val="001E3C7F"/>
    <w:rsid w:val="001F67CF"/>
    <w:rsid w:val="00226DD5"/>
    <w:rsid w:val="00240502"/>
    <w:rsid w:val="002577FC"/>
    <w:rsid w:val="002728C6"/>
    <w:rsid w:val="00272C7E"/>
    <w:rsid w:val="002736F4"/>
    <w:rsid w:val="002A4E1A"/>
    <w:rsid w:val="002B0512"/>
    <w:rsid w:val="002C1B82"/>
    <w:rsid w:val="002C441C"/>
    <w:rsid w:val="002E521B"/>
    <w:rsid w:val="002F30FD"/>
    <w:rsid w:val="00300384"/>
    <w:rsid w:val="00303644"/>
    <w:rsid w:val="00313F97"/>
    <w:rsid w:val="003152C9"/>
    <w:rsid w:val="00315660"/>
    <w:rsid w:val="00315F18"/>
    <w:rsid w:val="00316EB3"/>
    <w:rsid w:val="00332248"/>
    <w:rsid w:val="00341BEA"/>
    <w:rsid w:val="003428B7"/>
    <w:rsid w:val="00346225"/>
    <w:rsid w:val="00373070"/>
    <w:rsid w:val="00373BFC"/>
    <w:rsid w:val="00377CE0"/>
    <w:rsid w:val="003967C6"/>
    <w:rsid w:val="003A3034"/>
    <w:rsid w:val="003A3146"/>
    <w:rsid w:val="003A41DF"/>
    <w:rsid w:val="003A62F1"/>
    <w:rsid w:val="003B765C"/>
    <w:rsid w:val="003D0C47"/>
    <w:rsid w:val="003D2092"/>
    <w:rsid w:val="003E78B7"/>
    <w:rsid w:val="003F41DF"/>
    <w:rsid w:val="00405346"/>
    <w:rsid w:val="004213DF"/>
    <w:rsid w:val="004244D5"/>
    <w:rsid w:val="00440AF0"/>
    <w:rsid w:val="00441E09"/>
    <w:rsid w:val="0045568C"/>
    <w:rsid w:val="0046012C"/>
    <w:rsid w:val="00465DBD"/>
    <w:rsid w:val="004A3678"/>
    <w:rsid w:val="004C1E2E"/>
    <w:rsid w:val="004C6C99"/>
    <w:rsid w:val="004C7E37"/>
    <w:rsid w:val="004D7596"/>
    <w:rsid w:val="004E3224"/>
    <w:rsid w:val="004F0D00"/>
    <w:rsid w:val="004F1FC6"/>
    <w:rsid w:val="005031AB"/>
    <w:rsid w:val="005044E0"/>
    <w:rsid w:val="00511401"/>
    <w:rsid w:val="00514BC4"/>
    <w:rsid w:val="0052319A"/>
    <w:rsid w:val="00527AB6"/>
    <w:rsid w:val="00532ABB"/>
    <w:rsid w:val="00545EA1"/>
    <w:rsid w:val="00546A6F"/>
    <w:rsid w:val="00550ABB"/>
    <w:rsid w:val="00570922"/>
    <w:rsid w:val="00570F30"/>
    <w:rsid w:val="0057360F"/>
    <w:rsid w:val="00590016"/>
    <w:rsid w:val="005A0C16"/>
    <w:rsid w:val="005B573E"/>
    <w:rsid w:val="005B589D"/>
    <w:rsid w:val="005E3C11"/>
    <w:rsid w:val="005E6B64"/>
    <w:rsid w:val="005F2EFA"/>
    <w:rsid w:val="005F3E4B"/>
    <w:rsid w:val="005F4930"/>
    <w:rsid w:val="00601274"/>
    <w:rsid w:val="0060246C"/>
    <w:rsid w:val="0060508C"/>
    <w:rsid w:val="00607C8E"/>
    <w:rsid w:val="00614E60"/>
    <w:rsid w:val="00621C38"/>
    <w:rsid w:val="006320B0"/>
    <w:rsid w:val="00635EEB"/>
    <w:rsid w:val="00645954"/>
    <w:rsid w:val="0066340A"/>
    <w:rsid w:val="006670AC"/>
    <w:rsid w:val="00675CCC"/>
    <w:rsid w:val="0067614A"/>
    <w:rsid w:val="006849F0"/>
    <w:rsid w:val="006912B4"/>
    <w:rsid w:val="00692377"/>
    <w:rsid w:val="006929CC"/>
    <w:rsid w:val="0069720C"/>
    <w:rsid w:val="006B6689"/>
    <w:rsid w:val="006C1D1C"/>
    <w:rsid w:val="006F5B80"/>
    <w:rsid w:val="006F759D"/>
    <w:rsid w:val="00705EE0"/>
    <w:rsid w:val="00711B9E"/>
    <w:rsid w:val="007122C0"/>
    <w:rsid w:val="00714DB4"/>
    <w:rsid w:val="00715459"/>
    <w:rsid w:val="00721E55"/>
    <w:rsid w:val="0073167D"/>
    <w:rsid w:val="007333BB"/>
    <w:rsid w:val="0073462B"/>
    <w:rsid w:val="00735954"/>
    <w:rsid w:val="00760ADC"/>
    <w:rsid w:val="00773317"/>
    <w:rsid w:val="007765BD"/>
    <w:rsid w:val="00783A65"/>
    <w:rsid w:val="007A0A54"/>
    <w:rsid w:val="007A3891"/>
    <w:rsid w:val="007B4C97"/>
    <w:rsid w:val="007D4F55"/>
    <w:rsid w:val="007D5D85"/>
    <w:rsid w:val="007F1587"/>
    <w:rsid w:val="008019F2"/>
    <w:rsid w:val="00804C37"/>
    <w:rsid w:val="00811F12"/>
    <w:rsid w:val="00825CC0"/>
    <w:rsid w:val="008349AA"/>
    <w:rsid w:val="008376C2"/>
    <w:rsid w:val="00844251"/>
    <w:rsid w:val="008634B8"/>
    <w:rsid w:val="00866096"/>
    <w:rsid w:val="00874EB8"/>
    <w:rsid w:val="00876B5B"/>
    <w:rsid w:val="00877ADF"/>
    <w:rsid w:val="008852B4"/>
    <w:rsid w:val="008918FF"/>
    <w:rsid w:val="008A454B"/>
    <w:rsid w:val="008B06B3"/>
    <w:rsid w:val="008B6E8F"/>
    <w:rsid w:val="008B79CD"/>
    <w:rsid w:val="008E6218"/>
    <w:rsid w:val="008F6A7E"/>
    <w:rsid w:val="008F74FF"/>
    <w:rsid w:val="009114E4"/>
    <w:rsid w:val="0092659D"/>
    <w:rsid w:val="00927E83"/>
    <w:rsid w:val="00937117"/>
    <w:rsid w:val="00940DCC"/>
    <w:rsid w:val="00950E73"/>
    <w:rsid w:val="0096513E"/>
    <w:rsid w:val="00966E1A"/>
    <w:rsid w:val="00966FFF"/>
    <w:rsid w:val="00972EC0"/>
    <w:rsid w:val="00977949"/>
    <w:rsid w:val="00977B15"/>
    <w:rsid w:val="009840AB"/>
    <w:rsid w:val="00995193"/>
    <w:rsid w:val="009B364B"/>
    <w:rsid w:val="009D25B9"/>
    <w:rsid w:val="009D46BA"/>
    <w:rsid w:val="009E154A"/>
    <w:rsid w:val="00A00630"/>
    <w:rsid w:val="00A022EE"/>
    <w:rsid w:val="00A0696B"/>
    <w:rsid w:val="00A14CDA"/>
    <w:rsid w:val="00A228BE"/>
    <w:rsid w:val="00A258D4"/>
    <w:rsid w:val="00A31640"/>
    <w:rsid w:val="00A41306"/>
    <w:rsid w:val="00A41BE4"/>
    <w:rsid w:val="00A46B3E"/>
    <w:rsid w:val="00A50C63"/>
    <w:rsid w:val="00A541AC"/>
    <w:rsid w:val="00A66236"/>
    <w:rsid w:val="00A71C53"/>
    <w:rsid w:val="00A728BD"/>
    <w:rsid w:val="00A74290"/>
    <w:rsid w:val="00AB329B"/>
    <w:rsid w:val="00AB59CC"/>
    <w:rsid w:val="00AB76A7"/>
    <w:rsid w:val="00AB76E6"/>
    <w:rsid w:val="00AC303B"/>
    <w:rsid w:val="00AD1C08"/>
    <w:rsid w:val="00AE3A5F"/>
    <w:rsid w:val="00AF3135"/>
    <w:rsid w:val="00AF5803"/>
    <w:rsid w:val="00B100EE"/>
    <w:rsid w:val="00B13FB8"/>
    <w:rsid w:val="00B22224"/>
    <w:rsid w:val="00B339EA"/>
    <w:rsid w:val="00B40274"/>
    <w:rsid w:val="00B403AF"/>
    <w:rsid w:val="00B41B3B"/>
    <w:rsid w:val="00B431A1"/>
    <w:rsid w:val="00B575A4"/>
    <w:rsid w:val="00B8143B"/>
    <w:rsid w:val="00B97404"/>
    <w:rsid w:val="00BA105D"/>
    <w:rsid w:val="00BA1102"/>
    <w:rsid w:val="00BA319F"/>
    <w:rsid w:val="00BA5B25"/>
    <w:rsid w:val="00BC0A06"/>
    <w:rsid w:val="00BC30DD"/>
    <w:rsid w:val="00BC3D61"/>
    <w:rsid w:val="00BD4BB0"/>
    <w:rsid w:val="00BD6992"/>
    <w:rsid w:val="00BE7107"/>
    <w:rsid w:val="00BF27FD"/>
    <w:rsid w:val="00BF36A1"/>
    <w:rsid w:val="00C0083A"/>
    <w:rsid w:val="00C05C44"/>
    <w:rsid w:val="00C1739A"/>
    <w:rsid w:val="00C253E8"/>
    <w:rsid w:val="00C26F17"/>
    <w:rsid w:val="00C302B1"/>
    <w:rsid w:val="00C676E2"/>
    <w:rsid w:val="00C7121F"/>
    <w:rsid w:val="00C73E22"/>
    <w:rsid w:val="00C7602C"/>
    <w:rsid w:val="00C77AB7"/>
    <w:rsid w:val="00CA687C"/>
    <w:rsid w:val="00CB6467"/>
    <w:rsid w:val="00CB6616"/>
    <w:rsid w:val="00CC3213"/>
    <w:rsid w:val="00CD7C21"/>
    <w:rsid w:val="00CE3EA3"/>
    <w:rsid w:val="00CE4E9B"/>
    <w:rsid w:val="00D040EC"/>
    <w:rsid w:val="00D12DDE"/>
    <w:rsid w:val="00D1333C"/>
    <w:rsid w:val="00D23111"/>
    <w:rsid w:val="00D34775"/>
    <w:rsid w:val="00D55BB9"/>
    <w:rsid w:val="00D60F9D"/>
    <w:rsid w:val="00D72E6E"/>
    <w:rsid w:val="00D90B70"/>
    <w:rsid w:val="00D931FD"/>
    <w:rsid w:val="00DA5E3A"/>
    <w:rsid w:val="00DA62E6"/>
    <w:rsid w:val="00DA638A"/>
    <w:rsid w:val="00DB10AC"/>
    <w:rsid w:val="00DB11E1"/>
    <w:rsid w:val="00DC389F"/>
    <w:rsid w:val="00DC456D"/>
    <w:rsid w:val="00DD7979"/>
    <w:rsid w:val="00DE221C"/>
    <w:rsid w:val="00DE3ABC"/>
    <w:rsid w:val="00DE65E7"/>
    <w:rsid w:val="00DF7788"/>
    <w:rsid w:val="00DF7933"/>
    <w:rsid w:val="00E0247B"/>
    <w:rsid w:val="00E077FC"/>
    <w:rsid w:val="00E41200"/>
    <w:rsid w:val="00E441F3"/>
    <w:rsid w:val="00E705C2"/>
    <w:rsid w:val="00E80759"/>
    <w:rsid w:val="00E81E1B"/>
    <w:rsid w:val="00EB10E7"/>
    <w:rsid w:val="00EB4B24"/>
    <w:rsid w:val="00ED0AFF"/>
    <w:rsid w:val="00EF332F"/>
    <w:rsid w:val="00EF57FB"/>
    <w:rsid w:val="00EF6154"/>
    <w:rsid w:val="00EF6284"/>
    <w:rsid w:val="00F07FEB"/>
    <w:rsid w:val="00F11139"/>
    <w:rsid w:val="00F15EEF"/>
    <w:rsid w:val="00F45A37"/>
    <w:rsid w:val="00F45E69"/>
    <w:rsid w:val="00F51D3A"/>
    <w:rsid w:val="00F7204A"/>
    <w:rsid w:val="00F74C0E"/>
    <w:rsid w:val="00FA1BC9"/>
    <w:rsid w:val="00FA76B1"/>
    <w:rsid w:val="00FF03B0"/>
    <w:rsid w:val="00FF4E22"/>
    <w:rsid w:val="00FF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61FE0"/>
  <w15:docId w15:val="{1F93FD03-5134-4735-A99A-35237D1A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E6E"/>
    <w:pPr>
      <w:keepNext/>
      <w:keepLines/>
      <w:spacing w:before="480" w:after="0"/>
      <w:outlineLvl w:val="0"/>
    </w:pPr>
    <w:rPr>
      <w:rFonts w:asciiTheme="majorHAnsi" w:eastAsiaTheme="majorEastAsia" w:hAnsiTheme="majorHAnsi" w:cstheme="majorBidi"/>
      <w:b/>
      <w:bCs/>
      <w:color w:val="457030" w:themeColor="accent1" w:themeShade="B5"/>
      <w:sz w:val="32"/>
      <w:szCs w:val="32"/>
    </w:rPr>
  </w:style>
  <w:style w:type="paragraph" w:styleId="Heading3">
    <w:name w:val="heading 3"/>
    <w:basedOn w:val="NoSpacing"/>
    <w:next w:val="Normal"/>
    <w:link w:val="Heading3Char"/>
    <w:uiPriority w:val="9"/>
    <w:unhideWhenUsed/>
    <w:qFormat/>
    <w:rsid w:val="00D72E6E"/>
    <w:pPr>
      <w:outlineLvl w:val="2"/>
    </w:pPr>
    <w:rPr>
      <w:rFonts w:ascii="Calibri" w:eastAsia="Calibri" w:hAnsi="Calibri" w:cs="Times New Roman"/>
      <w:b/>
      <w:bCs/>
      <w:color w:val="497733"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596"/>
  </w:style>
  <w:style w:type="paragraph" w:styleId="Footer">
    <w:name w:val="footer"/>
    <w:basedOn w:val="Normal"/>
    <w:link w:val="FooterChar"/>
    <w:uiPriority w:val="99"/>
    <w:unhideWhenUsed/>
    <w:rsid w:val="004D7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596"/>
  </w:style>
  <w:style w:type="paragraph" w:styleId="NoSpacing">
    <w:name w:val="No Spacing"/>
    <w:link w:val="NoSpacingChar"/>
    <w:uiPriority w:val="1"/>
    <w:qFormat/>
    <w:rsid w:val="004D7596"/>
    <w:pPr>
      <w:spacing w:after="0" w:line="240" w:lineRule="auto"/>
    </w:pPr>
  </w:style>
  <w:style w:type="character" w:customStyle="1" w:styleId="Heading1Char">
    <w:name w:val="Heading 1 Char"/>
    <w:basedOn w:val="DefaultParagraphFont"/>
    <w:link w:val="Heading1"/>
    <w:uiPriority w:val="9"/>
    <w:rsid w:val="00D72E6E"/>
    <w:rPr>
      <w:rFonts w:asciiTheme="majorHAnsi" w:eastAsiaTheme="majorEastAsia" w:hAnsiTheme="majorHAnsi" w:cstheme="majorBidi"/>
      <w:b/>
      <w:bCs/>
      <w:color w:val="457030" w:themeColor="accent1" w:themeShade="B5"/>
      <w:sz w:val="32"/>
      <w:szCs w:val="32"/>
    </w:rPr>
  </w:style>
  <w:style w:type="character" w:customStyle="1" w:styleId="Heading3Char">
    <w:name w:val="Heading 3 Char"/>
    <w:basedOn w:val="DefaultParagraphFont"/>
    <w:link w:val="Heading3"/>
    <w:uiPriority w:val="9"/>
    <w:rsid w:val="00D72E6E"/>
    <w:rPr>
      <w:rFonts w:ascii="Calibri" w:eastAsia="Calibri" w:hAnsi="Calibri" w:cs="Times New Roman"/>
      <w:b/>
      <w:bCs/>
      <w:color w:val="497733" w:themeColor="accent1" w:themeShade="BF"/>
      <w:sz w:val="24"/>
    </w:rPr>
  </w:style>
  <w:style w:type="character" w:styleId="Hyperlink">
    <w:name w:val="Hyperlink"/>
    <w:basedOn w:val="DefaultParagraphFont"/>
    <w:uiPriority w:val="99"/>
    <w:unhideWhenUsed/>
    <w:rsid w:val="00D72E6E"/>
    <w:rPr>
      <w:color w:val="1C3C50" w:themeColor="hyperlink"/>
      <w:u w:val="single"/>
    </w:rPr>
  </w:style>
  <w:style w:type="table" w:styleId="LightShading-Accent1">
    <w:name w:val="Light Shading Accent 1"/>
    <w:basedOn w:val="TableNormal"/>
    <w:uiPriority w:val="60"/>
    <w:rsid w:val="00D72E6E"/>
    <w:pPr>
      <w:spacing w:after="0" w:line="240" w:lineRule="auto"/>
    </w:pPr>
    <w:rPr>
      <w:color w:val="497733" w:themeColor="accent1" w:themeShade="BF"/>
    </w:rPr>
    <w:tblPr>
      <w:tblStyleRowBandSize w:val="1"/>
      <w:tblStyleColBandSize w:val="1"/>
      <w:tblBorders>
        <w:top w:val="single" w:sz="8" w:space="0" w:color="629F44" w:themeColor="accent1"/>
        <w:bottom w:val="single" w:sz="8" w:space="0" w:color="629F44" w:themeColor="accent1"/>
      </w:tblBorders>
    </w:tblPr>
    <w:tblStylePr w:type="firstRow">
      <w:pPr>
        <w:spacing w:before="0" w:after="0" w:line="240" w:lineRule="auto"/>
      </w:pPr>
      <w:rPr>
        <w:b/>
        <w:bCs/>
      </w:rPr>
      <w:tblPr/>
      <w:tcPr>
        <w:tcBorders>
          <w:top w:val="single" w:sz="8" w:space="0" w:color="629F44" w:themeColor="accent1"/>
          <w:left w:val="nil"/>
          <w:bottom w:val="single" w:sz="8" w:space="0" w:color="629F44" w:themeColor="accent1"/>
          <w:right w:val="nil"/>
          <w:insideH w:val="nil"/>
          <w:insideV w:val="nil"/>
        </w:tcBorders>
      </w:tcPr>
    </w:tblStylePr>
    <w:tblStylePr w:type="lastRow">
      <w:pPr>
        <w:spacing w:before="0" w:after="0" w:line="240" w:lineRule="auto"/>
      </w:pPr>
      <w:rPr>
        <w:b/>
        <w:bCs/>
      </w:rPr>
      <w:tblPr/>
      <w:tcPr>
        <w:tcBorders>
          <w:top w:val="single" w:sz="8" w:space="0" w:color="629F44" w:themeColor="accent1"/>
          <w:left w:val="nil"/>
          <w:bottom w:val="single" w:sz="8" w:space="0" w:color="629F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CD" w:themeFill="accent1" w:themeFillTint="3F"/>
      </w:tcPr>
    </w:tblStylePr>
    <w:tblStylePr w:type="band1Horz">
      <w:tblPr/>
      <w:tcPr>
        <w:tcBorders>
          <w:left w:val="nil"/>
          <w:right w:val="nil"/>
          <w:insideH w:val="nil"/>
          <w:insideV w:val="nil"/>
        </w:tcBorders>
        <w:shd w:val="clear" w:color="auto" w:fill="D7EACD" w:themeFill="accent1" w:themeFillTint="3F"/>
      </w:tcPr>
    </w:tblStylePr>
  </w:style>
  <w:style w:type="character" w:styleId="FootnoteReference">
    <w:name w:val="footnote reference"/>
    <w:basedOn w:val="DefaultParagraphFont"/>
    <w:uiPriority w:val="99"/>
    <w:unhideWhenUsed/>
    <w:rsid w:val="00D72E6E"/>
    <w:rPr>
      <w:vertAlign w:val="superscript"/>
    </w:rPr>
  </w:style>
  <w:style w:type="paragraph" w:styleId="ListParagraph">
    <w:name w:val="List Paragraph"/>
    <w:basedOn w:val="Normal"/>
    <w:uiPriority w:val="34"/>
    <w:qFormat/>
    <w:rsid w:val="00D72E6E"/>
    <w:pPr>
      <w:spacing w:after="120"/>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D72E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E6E"/>
    <w:rPr>
      <w:sz w:val="20"/>
      <w:szCs w:val="20"/>
    </w:rPr>
  </w:style>
  <w:style w:type="table" w:styleId="TableGrid">
    <w:name w:val="Table Grid"/>
    <w:basedOn w:val="TableNormal"/>
    <w:uiPriority w:val="59"/>
    <w:rsid w:val="002C1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B8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1333C"/>
    <w:rPr>
      <w:color w:val="6F6E70" w:themeColor="followedHyperlink"/>
      <w:u w:val="single"/>
    </w:rPr>
  </w:style>
  <w:style w:type="table" w:customStyle="1" w:styleId="GridTable4-Accent11">
    <w:name w:val="Grid Table 4 - Accent 11"/>
    <w:basedOn w:val="TableNormal"/>
    <w:uiPriority w:val="49"/>
    <w:rsid w:val="004244D5"/>
    <w:pPr>
      <w:spacing w:after="0" w:line="240" w:lineRule="auto"/>
    </w:pPr>
    <w:tblPr>
      <w:tblStyleRowBandSize w:val="1"/>
      <w:tblStyleColBandSize w:val="1"/>
      <w:tblBorders>
        <w:top w:val="single" w:sz="4" w:space="0" w:color="9ECC87" w:themeColor="accent1" w:themeTint="99"/>
        <w:left w:val="single" w:sz="4" w:space="0" w:color="9ECC87" w:themeColor="accent1" w:themeTint="99"/>
        <w:bottom w:val="single" w:sz="4" w:space="0" w:color="9ECC87" w:themeColor="accent1" w:themeTint="99"/>
        <w:right w:val="single" w:sz="4" w:space="0" w:color="9ECC87" w:themeColor="accent1" w:themeTint="99"/>
        <w:insideH w:val="single" w:sz="4" w:space="0" w:color="9ECC87" w:themeColor="accent1" w:themeTint="99"/>
        <w:insideV w:val="single" w:sz="4" w:space="0" w:color="9ECC87" w:themeColor="accent1" w:themeTint="99"/>
      </w:tblBorders>
    </w:tblPr>
    <w:tblStylePr w:type="firstRow">
      <w:rPr>
        <w:b/>
        <w:bCs/>
        <w:color w:val="FFFFFF" w:themeColor="background1"/>
      </w:rPr>
      <w:tblPr/>
      <w:tcPr>
        <w:tcBorders>
          <w:top w:val="single" w:sz="4" w:space="0" w:color="629F44" w:themeColor="accent1"/>
          <w:left w:val="single" w:sz="4" w:space="0" w:color="629F44" w:themeColor="accent1"/>
          <w:bottom w:val="single" w:sz="4" w:space="0" w:color="629F44" w:themeColor="accent1"/>
          <w:right w:val="single" w:sz="4" w:space="0" w:color="629F44" w:themeColor="accent1"/>
          <w:insideH w:val="nil"/>
          <w:insideV w:val="nil"/>
        </w:tcBorders>
        <w:shd w:val="clear" w:color="auto" w:fill="629F44" w:themeFill="accent1"/>
      </w:tcPr>
    </w:tblStylePr>
    <w:tblStylePr w:type="lastRow">
      <w:rPr>
        <w:b/>
        <w:bCs/>
      </w:rPr>
      <w:tblPr/>
      <w:tcPr>
        <w:tcBorders>
          <w:top w:val="double" w:sz="4" w:space="0" w:color="629F44" w:themeColor="accent1"/>
        </w:tcBorders>
      </w:tcPr>
    </w:tblStylePr>
    <w:tblStylePr w:type="firstCol">
      <w:rPr>
        <w:b/>
        <w:bCs/>
      </w:rPr>
    </w:tblStylePr>
    <w:tblStylePr w:type="lastCol">
      <w:rPr>
        <w:b/>
        <w:bCs/>
      </w:rPr>
    </w:tblStylePr>
    <w:tblStylePr w:type="band1Vert">
      <w:tblPr/>
      <w:tcPr>
        <w:shd w:val="clear" w:color="auto" w:fill="DEEED7" w:themeFill="accent1" w:themeFillTint="33"/>
      </w:tcPr>
    </w:tblStylePr>
    <w:tblStylePr w:type="band1Horz">
      <w:tblPr/>
      <w:tcPr>
        <w:shd w:val="clear" w:color="auto" w:fill="DEEED7" w:themeFill="accent1" w:themeFillTint="33"/>
      </w:tcPr>
    </w:tblStylePr>
  </w:style>
  <w:style w:type="character" w:styleId="CommentReference">
    <w:name w:val="annotation reference"/>
    <w:basedOn w:val="DefaultParagraphFont"/>
    <w:uiPriority w:val="99"/>
    <w:semiHidden/>
    <w:unhideWhenUsed/>
    <w:rsid w:val="00F45E69"/>
    <w:rPr>
      <w:sz w:val="16"/>
      <w:szCs w:val="16"/>
    </w:rPr>
  </w:style>
  <w:style w:type="paragraph" w:styleId="CommentText">
    <w:name w:val="annotation text"/>
    <w:basedOn w:val="Normal"/>
    <w:link w:val="CommentTextChar"/>
    <w:uiPriority w:val="99"/>
    <w:semiHidden/>
    <w:unhideWhenUsed/>
    <w:rsid w:val="00F45E69"/>
    <w:pPr>
      <w:spacing w:after="0" w:line="240" w:lineRule="auto"/>
      <w:jc w:val="center"/>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45E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5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69"/>
    <w:rPr>
      <w:rFonts w:ascii="Segoe UI" w:hAnsi="Segoe UI" w:cs="Segoe UI"/>
      <w:sz w:val="18"/>
      <w:szCs w:val="18"/>
    </w:rPr>
  </w:style>
  <w:style w:type="character" w:customStyle="1" w:styleId="NoSpacingChar">
    <w:name w:val="No Spacing Char"/>
    <w:basedOn w:val="DefaultParagraphFont"/>
    <w:link w:val="NoSpacing"/>
    <w:uiPriority w:val="1"/>
    <w:rsid w:val="00570922"/>
  </w:style>
  <w:style w:type="character" w:styleId="UnresolvedMention">
    <w:name w:val="Unresolved Mention"/>
    <w:basedOn w:val="DefaultParagraphFont"/>
    <w:uiPriority w:val="99"/>
    <w:semiHidden/>
    <w:unhideWhenUsed/>
    <w:rsid w:val="00000ED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339EA"/>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339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3450">
      <w:bodyDiv w:val="1"/>
      <w:marLeft w:val="0"/>
      <w:marRight w:val="0"/>
      <w:marTop w:val="0"/>
      <w:marBottom w:val="0"/>
      <w:divBdr>
        <w:top w:val="none" w:sz="0" w:space="0" w:color="auto"/>
        <w:left w:val="none" w:sz="0" w:space="0" w:color="auto"/>
        <w:bottom w:val="none" w:sz="0" w:space="0" w:color="auto"/>
        <w:right w:val="none" w:sz="0" w:space="0" w:color="auto"/>
      </w:divBdr>
    </w:div>
    <w:div w:id="139076078">
      <w:bodyDiv w:val="1"/>
      <w:marLeft w:val="0"/>
      <w:marRight w:val="0"/>
      <w:marTop w:val="0"/>
      <w:marBottom w:val="0"/>
      <w:divBdr>
        <w:top w:val="none" w:sz="0" w:space="0" w:color="auto"/>
        <w:left w:val="none" w:sz="0" w:space="0" w:color="auto"/>
        <w:bottom w:val="none" w:sz="0" w:space="0" w:color="auto"/>
        <w:right w:val="none" w:sz="0" w:space="0" w:color="auto"/>
      </w:divBdr>
    </w:div>
    <w:div w:id="200212660">
      <w:bodyDiv w:val="1"/>
      <w:marLeft w:val="0"/>
      <w:marRight w:val="0"/>
      <w:marTop w:val="0"/>
      <w:marBottom w:val="0"/>
      <w:divBdr>
        <w:top w:val="none" w:sz="0" w:space="0" w:color="auto"/>
        <w:left w:val="none" w:sz="0" w:space="0" w:color="auto"/>
        <w:bottom w:val="none" w:sz="0" w:space="0" w:color="auto"/>
        <w:right w:val="none" w:sz="0" w:space="0" w:color="auto"/>
      </w:divBdr>
    </w:div>
    <w:div w:id="243926236">
      <w:bodyDiv w:val="1"/>
      <w:marLeft w:val="0"/>
      <w:marRight w:val="0"/>
      <w:marTop w:val="0"/>
      <w:marBottom w:val="0"/>
      <w:divBdr>
        <w:top w:val="none" w:sz="0" w:space="0" w:color="auto"/>
        <w:left w:val="none" w:sz="0" w:space="0" w:color="auto"/>
        <w:bottom w:val="none" w:sz="0" w:space="0" w:color="auto"/>
        <w:right w:val="none" w:sz="0" w:space="0" w:color="auto"/>
      </w:divBdr>
    </w:div>
    <w:div w:id="279143469">
      <w:bodyDiv w:val="1"/>
      <w:marLeft w:val="0"/>
      <w:marRight w:val="0"/>
      <w:marTop w:val="0"/>
      <w:marBottom w:val="0"/>
      <w:divBdr>
        <w:top w:val="none" w:sz="0" w:space="0" w:color="auto"/>
        <w:left w:val="none" w:sz="0" w:space="0" w:color="auto"/>
        <w:bottom w:val="none" w:sz="0" w:space="0" w:color="auto"/>
        <w:right w:val="none" w:sz="0" w:space="0" w:color="auto"/>
      </w:divBdr>
    </w:div>
    <w:div w:id="298459730">
      <w:bodyDiv w:val="1"/>
      <w:marLeft w:val="0"/>
      <w:marRight w:val="0"/>
      <w:marTop w:val="0"/>
      <w:marBottom w:val="0"/>
      <w:divBdr>
        <w:top w:val="none" w:sz="0" w:space="0" w:color="auto"/>
        <w:left w:val="none" w:sz="0" w:space="0" w:color="auto"/>
        <w:bottom w:val="none" w:sz="0" w:space="0" w:color="auto"/>
        <w:right w:val="none" w:sz="0" w:space="0" w:color="auto"/>
      </w:divBdr>
    </w:div>
    <w:div w:id="374624180">
      <w:bodyDiv w:val="1"/>
      <w:marLeft w:val="0"/>
      <w:marRight w:val="0"/>
      <w:marTop w:val="0"/>
      <w:marBottom w:val="0"/>
      <w:divBdr>
        <w:top w:val="none" w:sz="0" w:space="0" w:color="auto"/>
        <w:left w:val="none" w:sz="0" w:space="0" w:color="auto"/>
        <w:bottom w:val="none" w:sz="0" w:space="0" w:color="auto"/>
        <w:right w:val="none" w:sz="0" w:space="0" w:color="auto"/>
      </w:divBdr>
    </w:div>
    <w:div w:id="470171439">
      <w:bodyDiv w:val="1"/>
      <w:marLeft w:val="0"/>
      <w:marRight w:val="0"/>
      <w:marTop w:val="0"/>
      <w:marBottom w:val="0"/>
      <w:divBdr>
        <w:top w:val="none" w:sz="0" w:space="0" w:color="auto"/>
        <w:left w:val="none" w:sz="0" w:space="0" w:color="auto"/>
        <w:bottom w:val="none" w:sz="0" w:space="0" w:color="auto"/>
        <w:right w:val="none" w:sz="0" w:space="0" w:color="auto"/>
      </w:divBdr>
    </w:div>
    <w:div w:id="490487154">
      <w:bodyDiv w:val="1"/>
      <w:marLeft w:val="0"/>
      <w:marRight w:val="0"/>
      <w:marTop w:val="0"/>
      <w:marBottom w:val="0"/>
      <w:divBdr>
        <w:top w:val="none" w:sz="0" w:space="0" w:color="auto"/>
        <w:left w:val="none" w:sz="0" w:space="0" w:color="auto"/>
        <w:bottom w:val="none" w:sz="0" w:space="0" w:color="auto"/>
        <w:right w:val="none" w:sz="0" w:space="0" w:color="auto"/>
      </w:divBdr>
    </w:div>
    <w:div w:id="575865442">
      <w:bodyDiv w:val="1"/>
      <w:marLeft w:val="0"/>
      <w:marRight w:val="0"/>
      <w:marTop w:val="0"/>
      <w:marBottom w:val="0"/>
      <w:divBdr>
        <w:top w:val="none" w:sz="0" w:space="0" w:color="auto"/>
        <w:left w:val="none" w:sz="0" w:space="0" w:color="auto"/>
        <w:bottom w:val="none" w:sz="0" w:space="0" w:color="auto"/>
        <w:right w:val="none" w:sz="0" w:space="0" w:color="auto"/>
      </w:divBdr>
    </w:div>
    <w:div w:id="811361535">
      <w:bodyDiv w:val="1"/>
      <w:marLeft w:val="0"/>
      <w:marRight w:val="0"/>
      <w:marTop w:val="0"/>
      <w:marBottom w:val="0"/>
      <w:divBdr>
        <w:top w:val="none" w:sz="0" w:space="0" w:color="auto"/>
        <w:left w:val="none" w:sz="0" w:space="0" w:color="auto"/>
        <w:bottom w:val="none" w:sz="0" w:space="0" w:color="auto"/>
        <w:right w:val="none" w:sz="0" w:space="0" w:color="auto"/>
      </w:divBdr>
    </w:div>
    <w:div w:id="832988946">
      <w:bodyDiv w:val="1"/>
      <w:marLeft w:val="0"/>
      <w:marRight w:val="0"/>
      <w:marTop w:val="0"/>
      <w:marBottom w:val="0"/>
      <w:divBdr>
        <w:top w:val="none" w:sz="0" w:space="0" w:color="auto"/>
        <w:left w:val="none" w:sz="0" w:space="0" w:color="auto"/>
        <w:bottom w:val="none" w:sz="0" w:space="0" w:color="auto"/>
        <w:right w:val="none" w:sz="0" w:space="0" w:color="auto"/>
      </w:divBdr>
    </w:div>
    <w:div w:id="891425274">
      <w:bodyDiv w:val="1"/>
      <w:marLeft w:val="0"/>
      <w:marRight w:val="0"/>
      <w:marTop w:val="0"/>
      <w:marBottom w:val="0"/>
      <w:divBdr>
        <w:top w:val="none" w:sz="0" w:space="0" w:color="auto"/>
        <w:left w:val="none" w:sz="0" w:space="0" w:color="auto"/>
        <w:bottom w:val="none" w:sz="0" w:space="0" w:color="auto"/>
        <w:right w:val="none" w:sz="0" w:space="0" w:color="auto"/>
      </w:divBdr>
    </w:div>
    <w:div w:id="926302623">
      <w:bodyDiv w:val="1"/>
      <w:marLeft w:val="0"/>
      <w:marRight w:val="0"/>
      <w:marTop w:val="0"/>
      <w:marBottom w:val="0"/>
      <w:divBdr>
        <w:top w:val="none" w:sz="0" w:space="0" w:color="auto"/>
        <w:left w:val="none" w:sz="0" w:space="0" w:color="auto"/>
        <w:bottom w:val="none" w:sz="0" w:space="0" w:color="auto"/>
        <w:right w:val="none" w:sz="0" w:space="0" w:color="auto"/>
      </w:divBdr>
      <w:divsChild>
        <w:div w:id="1325400452">
          <w:marLeft w:val="144"/>
          <w:marRight w:val="0"/>
          <w:marTop w:val="240"/>
          <w:marBottom w:val="40"/>
          <w:divBdr>
            <w:top w:val="none" w:sz="0" w:space="0" w:color="auto"/>
            <w:left w:val="none" w:sz="0" w:space="0" w:color="auto"/>
            <w:bottom w:val="none" w:sz="0" w:space="0" w:color="auto"/>
            <w:right w:val="none" w:sz="0" w:space="0" w:color="auto"/>
          </w:divBdr>
        </w:div>
      </w:divsChild>
    </w:div>
    <w:div w:id="974483874">
      <w:bodyDiv w:val="1"/>
      <w:marLeft w:val="0"/>
      <w:marRight w:val="0"/>
      <w:marTop w:val="0"/>
      <w:marBottom w:val="0"/>
      <w:divBdr>
        <w:top w:val="none" w:sz="0" w:space="0" w:color="auto"/>
        <w:left w:val="none" w:sz="0" w:space="0" w:color="auto"/>
        <w:bottom w:val="none" w:sz="0" w:space="0" w:color="auto"/>
        <w:right w:val="none" w:sz="0" w:space="0" w:color="auto"/>
      </w:divBdr>
    </w:div>
    <w:div w:id="1144155726">
      <w:bodyDiv w:val="1"/>
      <w:marLeft w:val="0"/>
      <w:marRight w:val="0"/>
      <w:marTop w:val="0"/>
      <w:marBottom w:val="0"/>
      <w:divBdr>
        <w:top w:val="none" w:sz="0" w:space="0" w:color="auto"/>
        <w:left w:val="none" w:sz="0" w:space="0" w:color="auto"/>
        <w:bottom w:val="none" w:sz="0" w:space="0" w:color="auto"/>
        <w:right w:val="none" w:sz="0" w:space="0" w:color="auto"/>
      </w:divBdr>
    </w:div>
    <w:div w:id="1237394922">
      <w:bodyDiv w:val="1"/>
      <w:marLeft w:val="0"/>
      <w:marRight w:val="0"/>
      <w:marTop w:val="0"/>
      <w:marBottom w:val="0"/>
      <w:divBdr>
        <w:top w:val="none" w:sz="0" w:space="0" w:color="auto"/>
        <w:left w:val="none" w:sz="0" w:space="0" w:color="auto"/>
        <w:bottom w:val="none" w:sz="0" w:space="0" w:color="auto"/>
        <w:right w:val="none" w:sz="0" w:space="0" w:color="auto"/>
      </w:divBdr>
    </w:div>
    <w:div w:id="1272126471">
      <w:bodyDiv w:val="1"/>
      <w:marLeft w:val="0"/>
      <w:marRight w:val="0"/>
      <w:marTop w:val="0"/>
      <w:marBottom w:val="0"/>
      <w:divBdr>
        <w:top w:val="none" w:sz="0" w:space="0" w:color="auto"/>
        <w:left w:val="none" w:sz="0" w:space="0" w:color="auto"/>
        <w:bottom w:val="none" w:sz="0" w:space="0" w:color="auto"/>
        <w:right w:val="none" w:sz="0" w:space="0" w:color="auto"/>
      </w:divBdr>
    </w:div>
    <w:div w:id="1280920081">
      <w:bodyDiv w:val="1"/>
      <w:marLeft w:val="0"/>
      <w:marRight w:val="0"/>
      <w:marTop w:val="0"/>
      <w:marBottom w:val="0"/>
      <w:divBdr>
        <w:top w:val="none" w:sz="0" w:space="0" w:color="auto"/>
        <w:left w:val="none" w:sz="0" w:space="0" w:color="auto"/>
        <w:bottom w:val="none" w:sz="0" w:space="0" w:color="auto"/>
        <w:right w:val="none" w:sz="0" w:space="0" w:color="auto"/>
      </w:divBdr>
    </w:div>
    <w:div w:id="1304264613">
      <w:bodyDiv w:val="1"/>
      <w:marLeft w:val="0"/>
      <w:marRight w:val="0"/>
      <w:marTop w:val="0"/>
      <w:marBottom w:val="0"/>
      <w:divBdr>
        <w:top w:val="none" w:sz="0" w:space="0" w:color="auto"/>
        <w:left w:val="none" w:sz="0" w:space="0" w:color="auto"/>
        <w:bottom w:val="none" w:sz="0" w:space="0" w:color="auto"/>
        <w:right w:val="none" w:sz="0" w:space="0" w:color="auto"/>
      </w:divBdr>
    </w:div>
    <w:div w:id="1349403137">
      <w:bodyDiv w:val="1"/>
      <w:marLeft w:val="0"/>
      <w:marRight w:val="0"/>
      <w:marTop w:val="0"/>
      <w:marBottom w:val="0"/>
      <w:divBdr>
        <w:top w:val="none" w:sz="0" w:space="0" w:color="auto"/>
        <w:left w:val="none" w:sz="0" w:space="0" w:color="auto"/>
        <w:bottom w:val="none" w:sz="0" w:space="0" w:color="auto"/>
        <w:right w:val="none" w:sz="0" w:space="0" w:color="auto"/>
      </w:divBdr>
    </w:div>
    <w:div w:id="1432360659">
      <w:bodyDiv w:val="1"/>
      <w:marLeft w:val="0"/>
      <w:marRight w:val="0"/>
      <w:marTop w:val="0"/>
      <w:marBottom w:val="0"/>
      <w:divBdr>
        <w:top w:val="none" w:sz="0" w:space="0" w:color="auto"/>
        <w:left w:val="none" w:sz="0" w:space="0" w:color="auto"/>
        <w:bottom w:val="none" w:sz="0" w:space="0" w:color="auto"/>
        <w:right w:val="none" w:sz="0" w:space="0" w:color="auto"/>
      </w:divBdr>
    </w:div>
    <w:div w:id="1466971114">
      <w:bodyDiv w:val="1"/>
      <w:marLeft w:val="0"/>
      <w:marRight w:val="0"/>
      <w:marTop w:val="0"/>
      <w:marBottom w:val="0"/>
      <w:divBdr>
        <w:top w:val="none" w:sz="0" w:space="0" w:color="auto"/>
        <w:left w:val="none" w:sz="0" w:space="0" w:color="auto"/>
        <w:bottom w:val="none" w:sz="0" w:space="0" w:color="auto"/>
        <w:right w:val="none" w:sz="0" w:space="0" w:color="auto"/>
      </w:divBdr>
    </w:div>
    <w:div w:id="1475103827">
      <w:bodyDiv w:val="1"/>
      <w:marLeft w:val="0"/>
      <w:marRight w:val="0"/>
      <w:marTop w:val="0"/>
      <w:marBottom w:val="0"/>
      <w:divBdr>
        <w:top w:val="none" w:sz="0" w:space="0" w:color="auto"/>
        <w:left w:val="none" w:sz="0" w:space="0" w:color="auto"/>
        <w:bottom w:val="none" w:sz="0" w:space="0" w:color="auto"/>
        <w:right w:val="none" w:sz="0" w:space="0" w:color="auto"/>
      </w:divBdr>
    </w:div>
    <w:div w:id="1520310542">
      <w:bodyDiv w:val="1"/>
      <w:marLeft w:val="0"/>
      <w:marRight w:val="0"/>
      <w:marTop w:val="0"/>
      <w:marBottom w:val="0"/>
      <w:divBdr>
        <w:top w:val="none" w:sz="0" w:space="0" w:color="auto"/>
        <w:left w:val="none" w:sz="0" w:space="0" w:color="auto"/>
        <w:bottom w:val="none" w:sz="0" w:space="0" w:color="auto"/>
        <w:right w:val="none" w:sz="0" w:space="0" w:color="auto"/>
      </w:divBdr>
    </w:div>
    <w:div w:id="1862477064">
      <w:bodyDiv w:val="1"/>
      <w:marLeft w:val="0"/>
      <w:marRight w:val="0"/>
      <w:marTop w:val="0"/>
      <w:marBottom w:val="0"/>
      <w:divBdr>
        <w:top w:val="none" w:sz="0" w:space="0" w:color="auto"/>
        <w:left w:val="none" w:sz="0" w:space="0" w:color="auto"/>
        <w:bottom w:val="none" w:sz="0" w:space="0" w:color="auto"/>
        <w:right w:val="none" w:sz="0" w:space="0" w:color="auto"/>
      </w:divBdr>
    </w:div>
    <w:div w:id="1881891594">
      <w:bodyDiv w:val="1"/>
      <w:marLeft w:val="0"/>
      <w:marRight w:val="0"/>
      <w:marTop w:val="0"/>
      <w:marBottom w:val="0"/>
      <w:divBdr>
        <w:top w:val="none" w:sz="0" w:space="0" w:color="auto"/>
        <w:left w:val="none" w:sz="0" w:space="0" w:color="auto"/>
        <w:bottom w:val="none" w:sz="0" w:space="0" w:color="auto"/>
        <w:right w:val="none" w:sz="0" w:space="0" w:color="auto"/>
      </w:divBdr>
    </w:div>
    <w:div w:id="1887523375">
      <w:bodyDiv w:val="1"/>
      <w:marLeft w:val="0"/>
      <w:marRight w:val="0"/>
      <w:marTop w:val="0"/>
      <w:marBottom w:val="0"/>
      <w:divBdr>
        <w:top w:val="none" w:sz="0" w:space="0" w:color="auto"/>
        <w:left w:val="none" w:sz="0" w:space="0" w:color="auto"/>
        <w:bottom w:val="none" w:sz="0" w:space="0" w:color="auto"/>
        <w:right w:val="none" w:sz="0" w:space="0" w:color="auto"/>
      </w:divBdr>
    </w:div>
    <w:div w:id="21336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registries.org/initiatives/measurement-and-improvement-initiati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yler@immregistrie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IRA Color Palette 1">
      <a:dk1>
        <a:sysClr val="windowText" lastClr="000000"/>
      </a:dk1>
      <a:lt1>
        <a:sysClr val="window" lastClr="FFFFFF"/>
      </a:lt1>
      <a:dk2>
        <a:srgbClr val="1C3C50"/>
      </a:dk2>
      <a:lt2>
        <a:srgbClr val="CCCCCB"/>
      </a:lt2>
      <a:accent1>
        <a:srgbClr val="629F44"/>
      </a:accent1>
      <a:accent2>
        <a:srgbClr val="1C3C50"/>
      </a:accent2>
      <a:accent3>
        <a:srgbClr val="8098A4"/>
      </a:accent3>
      <a:accent4>
        <a:srgbClr val="C9E2CA"/>
      </a:accent4>
      <a:accent5>
        <a:srgbClr val="ECBC0A"/>
      </a:accent5>
      <a:accent6>
        <a:srgbClr val="CCCCCB"/>
      </a:accent6>
      <a:hlink>
        <a:srgbClr val="1C3C50"/>
      </a:hlink>
      <a:folHlink>
        <a:srgbClr val="6F6E70"/>
      </a:folHlink>
    </a:clrScheme>
    <a:fontScheme name="AIRA 1">
      <a:majorFont>
        <a:latin typeface="Roboto"/>
        <a:ea typeface=""/>
        <a:cs typeface=""/>
      </a:majorFont>
      <a:minorFont>
        <a:latin typeface="Open Sans"/>
        <a:ea typeface=""/>
        <a:cs typeface=""/>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58B3-95B9-4565-B95C-076C1E6C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dc:creator>
  <cp:lastModifiedBy>Mary Beth Kurilo</cp:lastModifiedBy>
  <cp:revision>4</cp:revision>
  <cp:lastPrinted>2015-11-02T17:47:00Z</cp:lastPrinted>
  <dcterms:created xsi:type="dcterms:W3CDTF">2018-02-13T17:07:00Z</dcterms:created>
  <dcterms:modified xsi:type="dcterms:W3CDTF">2018-02-14T18:27:00Z</dcterms:modified>
</cp:coreProperties>
</file>