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7922B" w14:textId="77777777" w:rsidR="00FF577E" w:rsidRPr="003A41DF" w:rsidRDefault="00FF577E" w:rsidP="00FF577E">
      <w:pPr>
        <w:rPr>
          <w:rFonts w:ascii="Open Sans" w:hAnsi="Open Sans" w:cs="Open Sans"/>
        </w:rPr>
      </w:pPr>
      <w:r>
        <w:rPr>
          <w:rFonts w:ascii="Open Sans" w:hAnsi="Open Sans" w:cs="Open Sans"/>
        </w:rPr>
        <w:t>June 17</w:t>
      </w:r>
      <w:r w:rsidRPr="003A41DF">
        <w:rPr>
          <w:rFonts w:ascii="Open Sans" w:hAnsi="Open Sans" w:cs="Open Sans"/>
        </w:rPr>
        <w:t>, 201</w:t>
      </w:r>
      <w:r>
        <w:rPr>
          <w:rFonts w:ascii="Open Sans" w:hAnsi="Open Sans" w:cs="Open Sans"/>
        </w:rPr>
        <w:t>9</w:t>
      </w:r>
    </w:p>
    <w:p w14:paraId="62BF6172" w14:textId="77777777" w:rsidR="00FF577E" w:rsidRPr="003A41DF" w:rsidRDefault="00FF577E" w:rsidP="00FF577E">
      <w:pPr>
        <w:pStyle w:val="NoSpacing"/>
        <w:rPr>
          <w:rFonts w:ascii="Open Sans" w:hAnsi="Open Sans" w:cs="Open Sans"/>
        </w:rPr>
      </w:pPr>
      <w:r w:rsidRPr="003A41DF">
        <w:rPr>
          <w:rFonts w:ascii="Open Sans" w:hAnsi="Open Sans" w:cs="Open Sans"/>
        </w:rPr>
        <w:t>Office of the National Coordinator for Health Information Technology</w:t>
      </w:r>
    </w:p>
    <w:p w14:paraId="630A4CD8" w14:textId="77777777" w:rsidR="00FF577E" w:rsidRPr="003A41DF" w:rsidRDefault="00FF577E" w:rsidP="00FF577E">
      <w:pPr>
        <w:pStyle w:val="NoSpacing"/>
        <w:rPr>
          <w:rFonts w:ascii="Open Sans" w:hAnsi="Open Sans" w:cs="Open Sans"/>
        </w:rPr>
      </w:pPr>
    </w:p>
    <w:p w14:paraId="1D32F308" w14:textId="1A7B9B93" w:rsidR="00FF577E" w:rsidRPr="003A41DF" w:rsidRDefault="005C2EC3" w:rsidP="00FF577E">
      <w:pPr>
        <w:pStyle w:val="NoSpacing"/>
        <w:rPr>
          <w:rFonts w:ascii="Open Sans" w:hAnsi="Open Sans" w:cs="Open Sans"/>
        </w:rPr>
      </w:pPr>
      <w:r w:rsidRPr="005C2EC3">
        <w:rPr>
          <w:rFonts w:ascii="Open Sans" w:hAnsi="Open Sans" w:cs="Open Sans"/>
          <w:b/>
          <w:highlight w:val="yellow"/>
        </w:rPr>
        <w:t>DRAFT</w:t>
      </w:r>
      <w:r>
        <w:rPr>
          <w:rFonts w:ascii="Open Sans" w:hAnsi="Open Sans" w:cs="Open Sans"/>
        </w:rPr>
        <w:t xml:space="preserve"> Comments – Final </w:t>
      </w:r>
      <w:r w:rsidR="00FF577E" w:rsidRPr="003A41DF">
        <w:rPr>
          <w:rFonts w:ascii="Open Sans" w:hAnsi="Open Sans" w:cs="Open Sans"/>
        </w:rPr>
        <w:t>Comments</w:t>
      </w:r>
      <w:r>
        <w:rPr>
          <w:rFonts w:ascii="Open Sans" w:hAnsi="Open Sans" w:cs="Open Sans"/>
        </w:rPr>
        <w:t xml:space="preserve"> to be</w:t>
      </w:r>
      <w:r w:rsidR="00FF577E" w:rsidRPr="003A41DF">
        <w:rPr>
          <w:rFonts w:ascii="Open Sans" w:hAnsi="Open Sans" w:cs="Open Sans"/>
        </w:rPr>
        <w:t xml:space="preserve"> Submitted Electronically to: </w:t>
      </w:r>
      <w:r w:rsidR="00FF577E">
        <w:rPr>
          <w:rFonts w:ascii="Open Sans" w:hAnsi="Open Sans" w:cs="Open Sans"/>
          <w:b/>
          <w:u w:val="single"/>
        </w:rPr>
        <w:t>HealthIT.gov</w:t>
      </w:r>
    </w:p>
    <w:p w14:paraId="46A23759" w14:textId="77777777" w:rsidR="00FF577E" w:rsidRPr="003A41DF" w:rsidRDefault="00FF577E" w:rsidP="00FF577E">
      <w:pPr>
        <w:pStyle w:val="NoSpacing"/>
        <w:rPr>
          <w:rFonts w:ascii="Open Sans" w:hAnsi="Open Sans" w:cs="Open Sans"/>
        </w:rPr>
      </w:pPr>
    </w:p>
    <w:p w14:paraId="175E8C48" w14:textId="42A99AAF" w:rsidR="00FF577E" w:rsidRPr="003A41DF" w:rsidRDefault="00FF577E" w:rsidP="004104B0">
      <w:pPr>
        <w:rPr>
          <w:rFonts w:ascii="Open Sans" w:hAnsi="Open Sans" w:cs="Open Sans"/>
        </w:rPr>
      </w:pPr>
      <w:r w:rsidRPr="003A41DF">
        <w:rPr>
          <w:rFonts w:ascii="Open Sans" w:hAnsi="Open Sans" w:cs="Open Sans"/>
        </w:rPr>
        <w:t xml:space="preserve">RE: Public Comment on Trusted Exchange Framework and </w:t>
      </w:r>
      <w:r>
        <w:rPr>
          <w:rFonts w:ascii="Open Sans" w:hAnsi="Open Sans" w:cs="Open Sans"/>
        </w:rPr>
        <w:t>Common Agreement Draft 2</w:t>
      </w:r>
    </w:p>
    <w:p w14:paraId="2138597C" w14:textId="77777777" w:rsidR="00FF577E" w:rsidRPr="003A41DF" w:rsidRDefault="00FF577E" w:rsidP="00FF577E">
      <w:pPr>
        <w:pStyle w:val="NoSpacing"/>
        <w:rPr>
          <w:rFonts w:ascii="Open Sans" w:hAnsi="Open Sans" w:cs="Open Sans"/>
        </w:rPr>
      </w:pPr>
      <w:r w:rsidRPr="003A41DF">
        <w:rPr>
          <w:rFonts w:ascii="Open Sans" w:hAnsi="Open Sans" w:cs="Open Sans"/>
        </w:rPr>
        <w:t>Dear Office of the National Coordinator for Health IT:</w:t>
      </w:r>
    </w:p>
    <w:p w14:paraId="09CDADC9" w14:textId="77777777" w:rsidR="00FF577E" w:rsidRPr="003A41DF" w:rsidRDefault="00FF577E" w:rsidP="00FF577E">
      <w:pPr>
        <w:pStyle w:val="NoSpacing"/>
        <w:rPr>
          <w:rFonts w:ascii="Open Sans" w:hAnsi="Open Sans" w:cs="Open Sans"/>
        </w:rPr>
      </w:pPr>
    </w:p>
    <w:p w14:paraId="3290B34A" w14:textId="4DE432EF" w:rsidR="00FF577E" w:rsidRPr="00DD0F8E" w:rsidRDefault="00FF577E" w:rsidP="00FF577E">
      <w:pPr>
        <w:spacing w:after="200"/>
        <w:rPr>
          <w:rFonts w:ascii="Open Sans" w:hAnsi="Open Sans" w:cs="Open Sans"/>
        </w:rPr>
      </w:pPr>
      <w:r w:rsidRPr="003A41DF">
        <w:rPr>
          <w:rFonts w:ascii="Open Sans" w:hAnsi="Open Sans" w:cs="Open Sans"/>
        </w:rPr>
        <w:t>On behalf of the American Immunization Registry Association (AIRA) we are pleased to submit comments on ONC’s</w:t>
      </w:r>
      <w:r w:rsidRPr="003A41DF">
        <w:rPr>
          <w:rFonts w:ascii="Open Sans" w:hAnsi="Open Sans" w:cs="Open Sans"/>
          <w:b/>
          <w:i/>
        </w:rPr>
        <w:t xml:space="preserve"> Trusted Exchange Framework</w:t>
      </w:r>
      <w:r w:rsidRPr="00DD0F8E">
        <w:rPr>
          <w:rFonts w:ascii="Open Sans" w:hAnsi="Open Sans" w:cs="Open Sans"/>
        </w:rPr>
        <w:t xml:space="preserve"> </w:t>
      </w:r>
      <w:r w:rsidRPr="00DD0F8E">
        <w:rPr>
          <w:rFonts w:ascii="Open Sans" w:hAnsi="Open Sans" w:cs="Open Sans"/>
          <w:b/>
          <w:i/>
        </w:rPr>
        <w:t>and Common Agreement Draft 2</w:t>
      </w:r>
      <w:r w:rsidRPr="003A41DF">
        <w:rPr>
          <w:rFonts w:ascii="Open Sans" w:hAnsi="Open Sans" w:cs="Open Sans"/>
          <w:b/>
          <w:i/>
        </w:rPr>
        <w:t xml:space="preserve"> </w:t>
      </w:r>
      <w:r w:rsidRPr="003A41DF">
        <w:rPr>
          <w:rFonts w:ascii="Open Sans" w:hAnsi="Open Sans" w:cs="Open Sans"/>
        </w:rPr>
        <w:t>that was developed in response to the 21</w:t>
      </w:r>
      <w:r w:rsidRPr="003A41DF">
        <w:rPr>
          <w:rFonts w:ascii="Open Sans" w:hAnsi="Open Sans" w:cs="Open Sans"/>
          <w:vertAlign w:val="superscript"/>
        </w:rPr>
        <w:t>st</w:t>
      </w:r>
      <w:r w:rsidRPr="003A41DF">
        <w:rPr>
          <w:rFonts w:ascii="Open Sans" w:hAnsi="Open Sans" w:cs="Open Sans"/>
        </w:rPr>
        <w:t xml:space="preserve"> Century Cures Act. </w:t>
      </w:r>
      <w:r w:rsidRPr="00705EDC">
        <w:rPr>
          <w:rFonts w:cstheme="minorHAnsi"/>
        </w:rPr>
        <w:t xml:space="preserve">As a member organization with more than </w:t>
      </w:r>
      <w:r>
        <w:rPr>
          <w:rFonts w:cstheme="minorHAnsi"/>
        </w:rPr>
        <w:t>600</w:t>
      </w:r>
      <w:r w:rsidRPr="00705EDC">
        <w:rPr>
          <w:rFonts w:cstheme="minorHAnsi"/>
        </w:rPr>
        <w:t xml:space="preserve"> members </w:t>
      </w:r>
      <w:r>
        <w:rPr>
          <w:rFonts w:cstheme="minorHAnsi"/>
        </w:rPr>
        <w:t>representing</w:t>
      </w:r>
      <w:r w:rsidRPr="00705EDC">
        <w:rPr>
          <w:rFonts w:cstheme="minorHAnsi"/>
        </w:rPr>
        <w:t xml:space="preserve"> </w:t>
      </w:r>
      <w:r>
        <w:rPr>
          <w:rFonts w:cstheme="minorHAnsi"/>
        </w:rPr>
        <w:t>77</w:t>
      </w:r>
      <w:r w:rsidRPr="00705EDC">
        <w:rPr>
          <w:rFonts w:cstheme="minorHAnsi"/>
        </w:rPr>
        <w:t xml:space="preserve"> Public Health organizations, 1</w:t>
      </w:r>
      <w:r>
        <w:rPr>
          <w:rFonts w:cstheme="minorHAnsi"/>
        </w:rPr>
        <w:t>2</w:t>
      </w:r>
      <w:r w:rsidRPr="00705EDC">
        <w:rPr>
          <w:rFonts w:cstheme="minorHAnsi"/>
        </w:rPr>
        <w:t xml:space="preserve"> businesses and sponsors, and </w:t>
      </w:r>
      <w:r>
        <w:rPr>
          <w:rFonts w:cstheme="minorHAnsi"/>
        </w:rPr>
        <w:t>512</w:t>
      </w:r>
      <w:r w:rsidRPr="00705EDC">
        <w:rPr>
          <w:rFonts w:cstheme="minorHAnsi"/>
        </w:rPr>
        <w:t xml:space="preserve"> individuals </w:t>
      </w:r>
      <w:r>
        <w:rPr>
          <w:rFonts w:cstheme="minorHAnsi"/>
        </w:rPr>
        <w:t>from</w:t>
      </w:r>
      <w:r w:rsidRPr="00705EDC">
        <w:rPr>
          <w:rFonts w:cstheme="minorHAnsi"/>
        </w:rPr>
        <w:t xml:space="preserve"> Immunization Information System (IIS) programs and partners, these comments represent a broad perspective on federal actions that </w:t>
      </w:r>
      <w:r>
        <w:rPr>
          <w:rFonts w:cstheme="minorHAnsi"/>
        </w:rPr>
        <w:t>affect</w:t>
      </w:r>
      <w:r w:rsidRPr="00705EDC">
        <w:rPr>
          <w:rFonts w:cstheme="minorHAnsi"/>
        </w:rPr>
        <w:t xml:space="preserve"> immunization programs across the country, particularly </w:t>
      </w:r>
      <w:r>
        <w:rPr>
          <w:rFonts w:cstheme="minorHAnsi"/>
        </w:rPr>
        <w:t xml:space="preserve">as they relate to </w:t>
      </w:r>
      <w:r w:rsidRPr="00705EDC">
        <w:rPr>
          <w:rFonts w:cstheme="minorHAnsi"/>
        </w:rPr>
        <w:t xml:space="preserve">issues that </w:t>
      </w:r>
      <w:r>
        <w:rPr>
          <w:rFonts w:cstheme="minorHAnsi"/>
        </w:rPr>
        <w:t>impact</w:t>
      </w:r>
      <w:r w:rsidRPr="00705EDC">
        <w:rPr>
          <w:rFonts w:cstheme="minorHAnsi"/>
        </w:rPr>
        <w:t xml:space="preserve"> the interoperability of immunization records. </w:t>
      </w:r>
      <w:r w:rsidRPr="003A41DF">
        <w:rPr>
          <w:rFonts w:ascii="Open Sans" w:hAnsi="Open Sans" w:cs="Open Sans"/>
          <w:iCs/>
        </w:rPr>
        <w:t>At the point of clinical care, an IIS provides consolidated immunization records and forecast</w:t>
      </w:r>
      <w:r>
        <w:rPr>
          <w:rFonts w:ascii="Open Sans" w:hAnsi="Open Sans" w:cs="Open Sans"/>
          <w:iCs/>
        </w:rPr>
        <w:t>s</w:t>
      </w:r>
      <w:r w:rsidRPr="003A41DF">
        <w:rPr>
          <w:rFonts w:ascii="Open Sans" w:hAnsi="Open Sans" w:cs="Open Sans"/>
          <w:iCs/>
        </w:rPr>
        <w:t xml:space="preserve"> to support clinical decisions. At the population level, an IIS provides aggregate data and information on vaccinations for surveillance, program operations and public health action.</w:t>
      </w:r>
      <w:r w:rsidR="009806B4">
        <w:rPr>
          <w:rFonts w:ascii="Open Sans" w:hAnsi="Open Sans" w:cs="Open Sans"/>
          <w:iCs/>
        </w:rPr>
        <w:t xml:space="preserve"> End users of these data include private and public health care providers, schools</w:t>
      </w:r>
      <w:r w:rsidR="004104B0">
        <w:rPr>
          <w:rFonts w:ascii="Open Sans" w:hAnsi="Open Sans" w:cs="Open Sans"/>
          <w:iCs/>
        </w:rPr>
        <w:t xml:space="preserve">, </w:t>
      </w:r>
      <w:r w:rsidR="00134700">
        <w:rPr>
          <w:rFonts w:ascii="Open Sans" w:hAnsi="Open Sans" w:cs="Open Sans"/>
          <w:iCs/>
        </w:rPr>
        <w:t>childcare</w:t>
      </w:r>
      <w:r w:rsidR="009806B4">
        <w:rPr>
          <w:rFonts w:ascii="Open Sans" w:hAnsi="Open Sans" w:cs="Open Sans"/>
          <w:iCs/>
        </w:rPr>
        <w:t xml:space="preserve"> </w:t>
      </w:r>
      <w:bookmarkStart w:id="0" w:name="_GoBack"/>
      <w:bookmarkEnd w:id="0"/>
      <w:r w:rsidR="009806B4">
        <w:rPr>
          <w:rFonts w:ascii="Open Sans" w:hAnsi="Open Sans" w:cs="Open Sans"/>
          <w:iCs/>
        </w:rPr>
        <w:t xml:space="preserve">facilities, Medicaid and other health payers, and consumers, among others. </w:t>
      </w:r>
    </w:p>
    <w:p w14:paraId="743AEB5B" w14:textId="78C1D698" w:rsidR="00FF577E" w:rsidRDefault="00FF577E" w:rsidP="00FF577E">
      <w:pPr>
        <w:spacing w:after="120"/>
        <w:rPr>
          <w:rFonts w:ascii="Open Sans" w:hAnsi="Open Sans" w:cs="Open Sans"/>
          <w:iCs/>
        </w:rPr>
      </w:pPr>
      <w:r w:rsidRPr="003A41DF">
        <w:rPr>
          <w:rFonts w:ascii="Open Sans" w:hAnsi="Open Sans" w:cs="Open Sans"/>
          <w:iCs/>
        </w:rPr>
        <w:t>We appreciate the opportunity to provide comment</w:t>
      </w:r>
      <w:r w:rsidR="008177E8">
        <w:rPr>
          <w:rFonts w:ascii="Open Sans" w:hAnsi="Open Sans" w:cs="Open Sans"/>
          <w:iCs/>
        </w:rPr>
        <w:t>s</w:t>
      </w:r>
      <w:r w:rsidRPr="003A41DF">
        <w:rPr>
          <w:rFonts w:ascii="Open Sans" w:hAnsi="Open Sans" w:cs="Open Sans"/>
          <w:iCs/>
        </w:rPr>
        <w:t xml:space="preserve"> on this important step forward in the nationwide exchange of health data. IIS are present and active in every state and several territories and municipalities throughout the country. As a community of IIS programs and partners, data exchange, data consolidation and data use are foundational to our purpose. </w:t>
      </w:r>
    </w:p>
    <w:p w14:paraId="4218DBF9" w14:textId="24AFD7E4" w:rsidR="004104B0" w:rsidRDefault="004104B0" w:rsidP="00FF577E">
      <w:pPr>
        <w:spacing w:after="120"/>
        <w:rPr>
          <w:rFonts w:ascii="Open Sans" w:hAnsi="Open Sans" w:cs="Open Sans"/>
          <w:iCs/>
        </w:rPr>
      </w:pPr>
      <w:r>
        <w:rPr>
          <w:rFonts w:ascii="Open Sans" w:hAnsi="Open Sans" w:cs="Open Sans"/>
          <w:iCs/>
        </w:rPr>
        <w:t>In 2014, the Journal of Public Health Management and Practice</w:t>
      </w:r>
      <w:r>
        <w:rPr>
          <w:rStyle w:val="FootnoteReference"/>
          <w:rFonts w:ascii="Open Sans" w:hAnsi="Open Sans" w:cs="Open Sans"/>
          <w:iCs/>
        </w:rPr>
        <w:footnoteReference w:id="1"/>
      </w:r>
      <w:r>
        <w:rPr>
          <w:rFonts w:ascii="Open Sans" w:hAnsi="Open Sans" w:cs="Open Sans"/>
          <w:iCs/>
        </w:rPr>
        <w:t xml:space="preserve"> published the findings of a Community Guide Systematic Review that stated:</w:t>
      </w:r>
    </w:p>
    <w:p w14:paraId="1B5A0D7D" w14:textId="4A8F7F6C" w:rsidR="004104B0" w:rsidRDefault="004104B0" w:rsidP="00FF577E">
      <w:pPr>
        <w:spacing w:after="120"/>
        <w:rPr>
          <w:i/>
        </w:rPr>
      </w:pPr>
      <w:r w:rsidRPr="004104B0">
        <w:rPr>
          <w:i/>
        </w:rPr>
        <w:t>Findings from 240 articles and abstracts demonstrate IIS capabilities and actions in increasing vaccination rates with the goal of reducing vaccine-preventable disease.</w:t>
      </w:r>
    </w:p>
    <w:p w14:paraId="7E182E51" w14:textId="6FE64239" w:rsidR="004104B0" w:rsidRPr="004104B0" w:rsidRDefault="004104B0" w:rsidP="00FF577E">
      <w:pPr>
        <w:spacing w:after="120"/>
        <w:rPr>
          <w:rFonts w:ascii="Open Sans" w:hAnsi="Open Sans" w:cs="Open Sans"/>
          <w:iCs/>
        </w:rPr>
      </w:pPr>
      <w:r>
        <w:lastRenderedPageBreak/>
        <w:t xml:space="preserve">As a result of this review, the Community Preventive Services Task Force recommended use of IIS </w:t>
      </w:r>
      <w:proofErr w:type="gramStart"/>
      <w:r>
        <w:t>on the basis of</w:t>
      </w:r>
      <w:proofErr w:type="gramEnd"/>
      <w:r>
        <w:t xml:space="preserve"> strong evidence of effectiveness in increasing immunization coverage rates.</w:t>
      </w:r>
    </w:p>
    <w:p w14:paraId="1363FB38" w14:textId="6F9FB908" w:rsidR="00FF577E" w:rsidRDefault="004104B0" w:rsidP="00FF577E">
      <w:pPr>
        <w:spacing w:after="120"/>
        <w:rPr>
          <w:rFonts w:ascii="Open Sans" w:hAnsi="Open Sans" w:cs="Open Sans"/>
          <w:iCs/>
        </w:rPr>
      </w:pPr>
      <w:r>
        <w:rPr>
          <w:rFonts w:ascii="Open Sans" w:hAnsi="Open Sans" w:cs="Open Sans"/>
          <w:iCs/>
        </w:rPr>
        <w:t xml:space="preserve">One reason for the broad success of IIS in general, and IIS-Electronic Health Record (EHR) interoperability specifically, is the early alignment with standards. </w:t>
      </w:r>
      <w:r w:rsidR="00FF577E" w:rsidRPr="003A41DF">
        <w:rPr>
          <w:rFonts w:ascii="Open Sans" w:hAnsi="Open Sans" w:cs="Open Sans"/>
          <w:iCs/>
        </w:rPr>
        <w:t xml:space="preserve">Standards have long been recognized and adopted across the IIS community. In 2016, 91% of IIS jurisdictions used HL7 (Health Level Seven) version 2.5.1 messaging to receive vaccination histories from providers and return acknowledgement messages, while 67% of jurisdictions had an IIS that received and responded to queries from providers for immunization histories and forecasts, according to </w:t>
      </w:r>
      <w:r w:rsidR="008B6322">
        <w:rPr>
          <w:rFonts w:ascii="Open Sans" w:hAnsi="Open Sans" w:cs="Open Sans"/>
          <w:iCs/>
        </w:rPr>
        <w:t xml:space="preserve">an MMWR article published using </w:t>
      </w:r>
      <w:r w:rsidR="00FF577E" w:rsidRPr="003A41DF">
        <w:rPr>
          <w:rFonts w:ascii="Open Sans" w:hAnsi="Open Sans" w:cs="Open Sans"/>
          <w:iCs/>
        </w:rPr>
        <w:t>the CDC IIS Annual Report</w:t>
      </w:r>
      <w:r w:rsidR="008B6322">
        <w:rPr>
          <w:rFonts w:ascii="Open Sans" w:hAnsi="Open Sans" w:cs="Open Sans"/>
          <w:iCs/>
        </w:rPr>
        <w:t xml:space="preserve"> data</w:t>
      </w:r>
      <w:r w:rsidR="00FF577E" w:rsidRPr="003A41DF">
        <w:rPr>
          <w:rFonts w:ascii="Open Sans" w:hAnsi="Open Sans" w:cs="Open Sans"/>
          <w:iCs/>
        </w:rPr>
        <w:t>.</w:t>
      </w:r>
      <w:r w:rsidR="00FF577E" w:rsidRPr="003A41DF">
        <w:rPr>
          <w:rStyle w:val="FootnoteReference"/>
          <w:rFonts w:ascii="Open Sans" w:hAnsi="Open Sans" w:cs="Open Sans"/>
          <w:iCs/>
        </w:rPr>
        <w:footnoteReference w:id="2"/>
      </w:r>
      <w:r w:rsidR="00FF577E" w:rsidRPr="003A41DF">
        <w:rPr>
          <w:rFonts w:ascii="Open Sans" w:hAnsi="Open Sans" w:cs="Open Sans"/>
          <w:iCs/>
        </w:rPr>
        <w:t xml:space="preserve"> This same report noted that 78% of jurisdictions had an IIS that could transmit immunization data using Simple Object Access Protocol (SOAP), the CD</w:t>
      </w:r>
      <w:r w:rsidR="008177E8">
        <w:rPr>
          <w:rFonts w:ascii="Open Sans" w:hAnsi="Open Sans" w:cs="Open Sans"/>
          <w:iCs/>
        </w:rPr>
        <w:t>C-</w:t>
      </w:r>
      <w:r w:rsidR="00FF577E" w:rsidRPr="003A41DF">
        <w:rPr>
          <w:rFonts w:ascii="Open Sans" w:hAnsi="Open Sans" w:cs="Open Sans"/>
          <w:iCs/>
        </w:rPr>
        <w:t xml:space="preserve">endorsed transport standard for the exchange of immunization information. This community-wide alignment with standards is being supported and validated through </w:t>
      </w:r>
      <w:hyperlink r:id="rId8" w:history="1">
        <w:r w:rsidR="00FF577E" w:rsidRPr="008177E8">
          <w:rPr>
            <w:rStyle w:val="Hyperlink"/>
            <w:rFonts w:ascii="Open Sans" w:hAnsi="Open Sans" w:cs="Open Sans"/>
            <w:iCs/>
          </w:rPr>
          <w:t>AIRA’s Measure</w:t>
        </w:r>
        <w:r w:rsidR="00FF577E" w:rsidRPr="008177E8">
          <w:rPr>
            <w:rStyle w:val="Hyperlink"/>
            <w:rFonts w:ascii="Open Sans" w:hAnsi="Open Sans" w:cs="Open Sans"/>
            <w:iCs/>
          </w:rPr>
          <w:t>m</w:t>
        </w:r>
        <w:r w:rsidR="00FF577E" w:rsidRPr="008177E8">
          <w:rPr>
            <w:rStyle w:val="Hyperlink"/>
            <w:rFonts w:ascii="Open Sans" w:hAnsi="Open Sans" w:cs="Open Sans"/>
            <w:iCs/>
          </w:rPr>
          <w:t xml:space="preserve">ent and Improvement </w:t>
        </w:r>
        <w:r w:rsidR="008177E8" w:rsidRPr="008177E8">
          <w:rPr>
            <w:rStyle w:val="Hyperlink"/>
            <w:rFonts w:ascii="Open Sans" w:hAnsi="Open Sans" w:cs="Open Sans"/>
            <w:iCs/>
          </w:rPr>
          <w:t>I</w:t>
        </w:r>
        <w:r w:rsidR="00FF577E" w:rsidRPr="008177E8">
          <w:rPr>
            <w:rStyle w:val="Hyperlink"/>
            <w:rFonts w:ascii="Open Sans" w:hAnsi="Open Sans" w:cs="Open Sans"/>
            <w:iCs/>
          </w:rPr>
          <w:t xml:space="preserve">nitiative </w:t>
        </w:r>
      </w:hyperlink>
      <w:r w:rsidR="00FF577E" w:rsidRPr="003A41DF">
        <w:rPr>
          <w:rFonts w:ascii="Open Sans" w:hAnsi="Open Sans" w:cs="Open Sans"/>
          <w:iCs/>
        </w:rPr>
        <w:t>as well.</w:t>
      </w:r>
      <w:r w:rsidR="00FF577E" w:rsidRPr="003A41DF">
        <w:rPr>
          <w:rStyle w:val="FootnoteReference"/>
          <w:rFonts w:ascii="Open Sans" w:hAnsi="Open Sans" w:cs="Open Sans"/>
          <w:iCs/>
        </w:rPr>
        <w:footnoteReference w:id="3"/>
      </w:r>
      <w:r w:rsidR="00FF577E" w:rsidRPr="003A41DF">
        <w:rPr>
          <w:rFonts w:ascii="Open Sans" w:hAnsi="Open Sans" w:cs="Open Sans"/>
          <w:iCs/>
        </w:rPr>
        <w:t xml:space="preserve"> Meaningful use and the adoption of Certified Electronic Health Record Technology (CEHRT) by the EHR community have helped to accelerate the pace of interoperability across IIS and EHRs. </w:t>
      </w:r>
    </w:p>
    <w:p w14:paraId="7DA9623D" w14:textId="11952001" w:rsidR="00FF577E" w:rsidRDefault="00FF577E" w:rsidP="00FF577E">
      <w:pPr>
        <w:spacing w:after="120"/>
        <w:rPr>
          <w:rFonts w:ascii="Open Sans" w:hAnsi="Open Sans" w:cs="Open Sans"/>
        </w:rPr>
      </w:pPr>
      <w:r w:rsidRPr="003A41DF">
        <w:rPr>
          <w:rFonts w:ascii="Open Sans" w:hAnsi="Open Sans" w:cs="Open Sans"/>
        </w:rPr>
        <w:t xml:space="preserve">AIRA’s general comments on the Draft Trusted Exchange Framework and </w:t>
      </w:r>
      <w:r w:rsidR="009806B4">
        <w:rPr>
          <w:rFonts w:ascii="Open Sans" w:hAnsi="Open Sans" w:cs="Open Sans"/>
        </w:rPr>
        <w:t>Common Agreement</w:t>
      </w:r>
      <w:r w:rsidRPr="003A41DF">
        <w:rPr>
          <w:rFonts w:ascii="Open Sans" w:hAnsi="Open Sans" w:cs="Open Sans"/>
        </w:rPr>
        <w:t xml:space="preserve"> are presented below, and more detailed comments are presented on the following pages</w:t>
      </w:r>
      <w:r w:rsidR="008177E8">
        <w:rPr>
          <w:rFonts w:ascii="Open Sans" w:hAnsi="Open Sans" w:cs="Open Sans"/>
        </w:rPr>
        <w:t>.</w:t>
      </w:r>
    </w:p>
    <w:p w14:paraId="662AC8A0" w14:textId="0F854E76" w:rsidR="00FF577E" w:rsidRDefault="00F33FF1" w:rsidP="00FF577E">
      <w:pPr>
        <w:spacing w:after="120"/>
        <w:rPr>
          <w:rFonts w:ascii="Open Sans" w:hAnsi="Open Sans" w:cs="Open Sans"/>
          <w:b/>
        </w:rPr>
      </w:pPr>
      <w:r>
        <w:rPr>
          <w:rFonts w:ascii="Open Sans" w:hAnsi="Open Sans" w:cs="Open Sans"/>
          <w:b/>
        </w:rPr>
        <w:t xml:space="preserve">Significant </w:t>
      </w:r>
      <w:r w:rsidR="00FF577E" w:rsidRPr="00DA5E3A">
        <w:rPr>
          <w:rFonts w:ascii="Open Sans" w:hAnsi="Open Sans" w:cs="Open Sans"/>
          <w:b/>
        </w:rPr>
        <w:t>Comments in Support:</w:t>
      </w:r>
      <w:r w:rsidR="009806B4" w:rsidRPr="009806B4">
        <w:rPr>
          <w:rFonts w:ascii="Open Sans" w:hAnsi="Open Sans" w:cs="Open Sans"/>
        </w:rPr>
        <w:t xml:space="preserve"> </w:t>
      </w:r>
    </w:p>
    <w:p w14:paraId="0F67BE15" w14:textId="285D2FE6" w:rsidR="009806B4" w:rsidRDefault="009806B4" w:rsidP="009806B4">
      <w:pPr>
        <w:spacing w:after="120"/>
        <w:rPr>
          <w:rFonts w:ascii="Open Sans" w:hAnsi="Open Sans" w:cs="Open Sans"/>
          <w:iCs/>
        </w:rPr>
      </w:pPr>
      <w:r>
        <w:rPr>
          <w:rFonts w:ascii="Open Sans" w:hAnsi="Open Sans" w:cs="Open Sans"/>
          <w:iCs/>
        </w:rPr>
        <w:t xml:space="preserve">The IIS community strongly supports QHIN Message Delivery, or the addition of a </w:t>
      </w:r>
      <w:r w:rsidR="000E161A">
        <w:rPr>
          <w:rFonts w:ascii="Open Sans" w:hAnsi="Open Sans" w:cs="Open Sans"/>
          <w:iCs/>
        </w:rPr>
        <w:t>push-based exchange modality,</w:t>
      </w:r>
      <w:r>
        <w:rPr>
          <w:rFonts w:ascii="Open Sans" w:hAnsi="Open Sans" w:cs="Open Sans"/>
          <w:iCs/>
        </w:rPr>
        <w:t xml:space="preserve"> to TEFCA Draft 2. This is a critical component of interoperability for IIS specifically, and for public health more generally. </w:t>
      </w:r>
      <w:proofErr w:type="gramStart"/>
      <w:r w:rsidR="000E161A">
        <w:rPr>
          <w:rFonts w:ascii="Open Sans" w:hAnsi="Open Sans" w:cs="Open Sans"/>
          <w:iCs/>
        </w:rPr>
        <w:t>It Is clear that the</w:t>
      </w:r>
      <w:proofErr w:type="gramEnd"/>
      <w:r w:rsidR="000E161A">
        <w:rPr>
          <w:rFonts w:ascii="Open Sans" w:hAnsi="Open Sans" w:cs="Open Sans"/>
          <w:iCs/>
        </w:rPr>
        <w:t xml:space="preserve"> authors of TEFCA recogniz</w:t>
      </w:r>
      <w:r w:rsidR="0077444F">
        <w:rPr>
          <w:rFonts w:ascii="Open Sans" w:hAnsi="Open Sans" w:cs="Open Sans"/>
          <w:iCs/>
        </w:rPr>
        <w:t xml:space="preserve">e </w:t>
      </w:r>
      <w:r w:rsidR="000E161A">
        <w:rPr>
          <w:rFonts w:ascii="Open Sans" w:hAnsi="Open Sans" w:cs="Open Sans"/>
          <w:iCs/>
        </w:rPr>
        <w:t>the important role public health plays in the health care ecosystem, and we appreciate the intentional inclusion of public health in the TEFCA vision.</w:t>
      </w:r>
    </w:p>
    <w:p w14:paraId="5D6EF00E" w14:textId="6991EFC8" w:rsidR="007A54EC" w:rsidRDefault="007A54EC" w:rsidP="009806B4">
      <w:pPr>
        <w:spacing w:after="120"/>
        <w:rPr>
          <w:rFonts w:ascii="Open Sans" w:hAnsi="Open Sans" w:cs="Open Sans"/>
          <w:iCs/>
        </w:rPr>
      </w:pPr>
      <w:proofErr w:type="gramStart"/>
      <w:r>
        <w:rPr>
          <w:rFonts w:ascii="Open Sans" w:hAnsi="Open Sans" w:cs="Open Sans"/>
          <w:iCs/>
        </w:rPr>
        <w:t>In particular, we</w:t>
      </w:r>
      <w:proofErr w:type="gramEnd"/>
      <w:r>
        <w:rPr>
          <w:rFonts w:ascii="Open Sans" w:hAnsi="Open Sans" w:cs="Open Sans"/>
          <w:iCs/>
        </w:rPr>
        <w:t xml:space="preserve"> found the organization of levels of standards articulated by TEFCA Draft 2 to be especially helpful. Beginning with those standards adopted by HHS, </w:t>
      </w:r>
      <w:r w:rsidR="00D063DC">
        <w:rPr>
          <w:rFonts w:ascii="Open Sans" w:hAnsi="Open Sans" w:cs="Open Sans"/>
          <w:iCs/>
        </w:rPr>
        <w:t xml:space="preserve">followed by those proposed standards through the ONC Certification Program, followed by ISA creates a helpful stair-step approach to leveraging and reconciling multiple standards. </w:t>
      </w:r>
    </w:p>
    <w:p w14:paraId="730CE7D0" w14:textId="1F30EAC9" w:rsidR="009806B4" w:rsidRPr="00663079" w:rsidRDefault="000E161A" w:rsidP="00FF577E">
      <w:pPr>
        <w:spacing w:after="120"/>
        <w:rPr>
          <w:rFonts w:ascii="Open Sans" w:hAnsi="Open Sans" w:cs="Open Sans"/>
          <w:iCs/>
        </w:rPr>
      </w:pPr>
      <w:r>
        <w:rPr>
          <w:rFonts w:ascii="Open Sans" w:hAnsi="Open Sans" w:cs="Open Sans"/>
          <w:iCs/>
        </w:rPr>
        <w:t>The materials provided by ONC are clear, easy to navigate, and helpful for understanding the scope and focus of TEFCA. In particular, the User’s Guide is especially accessible for those seeking to comprehend their place in the TEFCA environment.</w:t>
      </w:r>
    </w:p>
    <w:p w14:paraId="125F95BE" w14:textId="79C42F09" w:rsidR="00FF577E" w:rsidRDefault="00F33FF1" w:rsidP="00FF577E">
      <w:pPr>
        <w:spacing w:after="120"/>
        <w:rPr>
          <w:rFonts w:ascii="Open Sans" w:hAnsi="Open Sans" w:cs="Open Sans"/>
          <w:b/>
        </w:rPr>
      </w:pPr>
      <w:r>
        <w:rPr>
          <w:rFonts w:ascii="Open Sans" w:hAnsi="Open Sans" w:cs="Open Sans"/>
          <w:b/>
        </w:rPr>
        <w:lastRenderedPageBreak/>
        <w:t xml:space="preserve">Significant </w:t>
      </w:r>
      <w:r w:rsidR="00FF577E" w:rsidRPr="00DA5E3A">
        <w:rPr>
          <w:rFonts w:ascii="Open Sans" w:hAnsi="Open Sans" w:cs="Open Sans"/>
          <w:b/>
        </w:rPr>
        <w:t>Comments of Concern</w:t>
      </w:r>
      <w:r w:rsidR="00FF577E">
        <w:rPr>
          <w:rFonts w:ascii="Open Sans" w:hAnsi="Open Sans" w:cs="Open Sans"/>
          <w:b/>
        </w:rPr>
        <w:t>/Recommendations:</w:t>
      </w:r>
    </w:p>
    <w:p w14:paraId="0C5C7466" w14:textId="3E984B56" w:rsidR="0077444F" w:rsidRPr="0077444F" w:rsidRDefault="00F33FF1" w:rsidP="00FF577E">
      <w:pPr>
        <w:spacing w:after="120"/>
        <w:rPr>
          <w:rFonts w:ascii="Open Sans" w:hAnsi="Open Sans" w:cs="Open Sans"/>
        </w:rPr>
      </w:pPr>
      <w:r>
        <w:rPr>
          <w:rFonts w:ascii="Open Sans" w:hAnsi="Open Sans" w:cs="Open Sans"/>
        </w:rPr>
        <w:t>We recognize that under the HIPAA Privacy Rule, individuals have a right to view or obtain a copy of their PHI from Covered Entities. We</w:t>
      </w:r>
      <w:r w:rsidR="0077444F">
        <w:rPr>
          <w:rFonts w:ascii="Open Sans" w:hAnsi="Open Sans" w:cs="Open Sans"/>
        </w:rPr>
        <w:t xml:space="preserve"> are concerned</w:t>
      </w:r>
      <w:r>
        <w:rPr>
          <w:rFonts w:ascii="Open Sans" w:hAnsi="Open Sans" w:cs="Open Sans"/>
        </w:rPr>
        <w:t>, however,</w:t>
      </w:r>
      <w:r w:rsidR="0077444F">
        <w:rPr>
          <w:rFonts w:ascii="Open Sans" w:hAnsi="Open Sans" w:cs="Open Sans"/>
        </w:rPr>
        <w:t xml:space="preserve"> about the inclusion of a corresponding requirement for non-HIPAA entities </w:t>
      </w:r>
      <w:r>
        <w:rPr>
          <w:rFonts w:ascii="Open Sans" w:hAnsi="Open Sans" w:cs="Open Sans"/>
        </w:rPr>
        <w:t xml:space="preserve">that elect to participate in the Common Agreement. </w:t>
      </w:r>
      <w:r w:rsidRPr="00F33FF1">
        <w:rPr>
          <w:rFonts w:ascii="Open Sans" w:hAnsi="Open Sans" w:cs="Open Sans"/>
        </w:rPr>
        <w:t>Some public health laws and rules do not allow individuals to access their own data</w:t>
      </w:r>
      <w:r w:rsidR="00292EC6">
        <w:rPr>
          <w:rFonts w:ascii="Open Sans" w:hAnsi="Open Sans" w:cs="Open Sans"/>
        </w:rPr>
        <w:t>, or they</w:t>
      </w:r>
      <w:r w:rsidRPr="00F33FF1">
        <w:rPr>
          <w:rFonts w:ascii="Open Sans" w:hAnsi="Open Sans" w:cs="Open Sans"/>
        </w:rPr>
        <w:t xml:space="preserve"> restrict how access is obtained (Example: a state rule requires the patient to come in person with photo ID for identity proofing). We request that public health be provided a specific exemption from this requirement as HIPAA does. </w:t>
      </w:r>
    </w:p>
    <w:p w14:paraId="77E2BF99" w14:textId="6EA5FF3C" w:rsidR="00663079" w:rsidRDefault="00F33FF1" w:rsidP="00FF577E">
      <w:pPr>
        <w:spacing w:after="120"/>
        <w:rPr>
          <w:rFonts w:ascii="Open Sans" w:hAnsi="Open Sans" w:cs="Open Sans"/>
        </w:rPr>
      </w:pPr>
      <w:r w:rsidRPr="00F33FF1">
        <w:rPr>
          <w:rFonts w:ascii="Open Sans" w:hAnsi="Open Sans" w:cs="Open Sans"/>
        </w:rPr>
        <w:t xml:space="preserve">Although the concept of </w:t>
      </w:r>
      <w:r w:rsidR="00663079" w:rsidRPr="00F33FF1">
        <w:rPr>
          <w:rFonts w:ascii="Open Sans" w:hAnsi="Open Sans" w:cs="Open Sans"/>
        </w:rPr>
        <w:t>Meaningful Choice</w:t>
      </w:r>
      <w:r w:rsidRPr="00F33FF1">
        <w:rPr>
          <w:rFonts w:ascii="Open Sans" w:hAnsi="Open Sans" w:cs="Open Sans"/>
        </w:rPr>
        <w:t xml:space="preserve"> (defined as the individual</w:t>
      </w:r>
      <w:r>
        <w:rPr>
          <w:rFonts w:ascii="Open Sans" w:hAnsi="Open Sans" w:cs="Open Sans"/>
        </w:rPr>
        <w:t>’</w:t>
      </w:r>
      <w:r w:rsidRPr="00F33FF1">
        <w:rPr>
          <w:rFonts w:ascii="Open Sans" w:hAnsi="Open Sans" w:cs="Open Sans"/>
        </w:rPr>
        <w:t xml:space="preserve">s choice with respect to the use or disclosure of EHI) begins to address consent issues, our concern is that it does not necessarily recognize or account for the complexity of consent. </w:t>
      </w:r>
      <w:proofErr w:type="gramStart"/>
      <w:r>
        <w:rPr>
          <w:rFonts w:ascii="Open Sans" w:hAnsi="Open Sans" w:cs="Open Sans"/>
        </w:rPr>
        <w:t xml:space="preserve">Public Health </w:t>
      </w:r>
      <w:r w:rsidR="007A54EC">
        <w:rPr>
          <w:rFonts w:ascii="Open Sans" w:hAnsi="Open Sans" w:cs="Open Sans"/>
        </w:rPr>
        <w:t>r</w:t>
      </w:r>
      <w:r>
        <w:rPr>
          <w:rFonts w:ascii="Open Sans" w:hAnsi="Open Sans" w:cs="Open Sans"/>
        </w:rPr>
        <w:t xml:space="preserve">eporting </w:t>
      </w:r>
      <w:r w:rsidR="007A54EC">
        <w:rPr>
          <w:rFonts w:ascii="Open Sans" w:hAnsi="Open Sans" w:cs="Open Sans"/>
        </w:rPr>
        <w:t>m</w:t>
      </w:r>
      <w:r>
        <w:rPr>
          <w:rFonts w:ascii="Open Sans" w:hAnsi="Open Sans" w:cs="Open Sans"/>
        </w:rPr>
        <w:t>andates,</w:t>
      </w:r>
      <w:proofErr w:type="gramEnd"/>
      <w:r>
        <w:rPr>
          <w:rFonts w:ascii="Open Sans" w:hAnsi="Open Sans" w:cs="Open Sans"/>
        </w:rPr>
        <w:t xml:space="preserve"> opt-in/opt-out provisions, </w:t>
      </w:r>
      <w:r w:rsidR="00292EC6">
        <w:rPr>
          <w:rFonts w:ascii="Open Sans" w:hAnsi="Open Sans" w:cs="Open Sans"/>
        </w:rPr>
        <w:t xml:space="preserve">age-based requirements for reporting, age-based consent for inclusion, </w:t>
      </w:r>
      <w:r>
        <w:rPr>
          <w:rFonts w:ascii="Open Sans" w:hAnsi="Open Sans" w:cs="Open Sans"/>
        </w:rPr>
        <w:t>automated vs. manual reporting, modified or rescinded consent over time all add complexity to a nation-wide approach to interoperability</w:t>
      </w:r>
      <w:r w:rsidR="00292EC6">
        <w:rPr>
          <w:rFonts w:ascii="Open Sans" w:hAnsi="Open Sans" w:cs="Open Sans"/>
        </w:rPr>
        <w:t>. Compounding these challenges is the fact that exchange</w:t>
      </w:r>
      <w:r>
        <w:rPr>
          <w:rFonts w:ascii="Open Sans" w:hAnsi="Open Sans" w:cs="Open Sans"/>
        </w:rPr>
        <w:t xml:space="preserve"> may include multiple hop</w:t>
      </w:r>
      <w:r w:rsidR="00292EC6">
        <w:rPr>
          <w:rFonts w:ascii="Open Sans" w:hAnsi="Open Sans" w:cs="Open Sans"/>
        </w:rPr>
        <w:t>s, with the potential for data to be stored at multiple locations</w:t>
      </w:r>
      <w:r>
        <w:rPr>
          <w:rFonts w:ascii="Open Sans" w:hAnsi="Open Sans" w:cs="Open Sans"/>
        </w:rPr>
        <w:t xml:space="preserve">. We feel these </w:t>
      </w:r>
      <w:r w:rsidR="00292EC6">
        <w:rPr>
          <w:rFonts w:ascii="Open Sans" w:hAnsi="Open Sans" w:cs="Open Sans"/>
        </w:rPr>
        <w:t xml:space="preserve">specific </w:t>
      </w:r>
      <w:r>
        <w:rPr>
          <w:rFonts w:ascii="Open Sans" w:hAnsi="Open Sans" w:cs="Open Sans"/>
        </w:rPr>
        <w:t>issues and others related to</w:t>
      </w:r>
      <w:r w:rsidR="00292EC6">
        <w:rPr>
          <w:rFonts w:ascii="Open Sans" w:hAnsi="Open Sans" w:cs="Open Sans"/>
        </w:rPr>
        <w:t xml:space="preserve"> the intersection of law/policy and</w:t>
      </w:r>
      <w:r>
        <w:rPr>
          <w:rFonts w:ascii="Open Sans" w:hAnsi="Open Sans" w:cs="Open Sans"/>
        </w:rPr>
        <w:t xml:space="preserve"> individual choice could be further articulated in TEFCA Draft 2. </w:t>
      </w:r>
    </w:p>
    <w:p w14:paraId="456D0860" w14:textId="08261FCD" w:rsidR="007A54EC" w:rsidRPr="00F33FF1" w:rsidRDefault="007A54EC" w:rsidP="00FF577E">
      <w:pPr>
        <w:spacing w:after="120"/>
        <w:rPr>
          <w:rFonts w:ascii="Open Sans" w:hAnsi="Open Sans" w:cs="Open Sans"/>
        </w:rPr>
      </w:pPr>
      <w:r>
        <w:rPr>
          <w:rFonts w:ascii="Open Sans" w:hAnsi="Open Sans" w:cs="Open Sans"/>
        </w:rPr>
        <w:t xml:space="preserve">Perhaps our most significant question is related to the fundamental approach for how public health will tie in with the backbone of TEFCA. The document speaks to QHIN-to-QHIN exchange, but </w:t>
      </w:r>
      <w:proofErr w:type="gramStart"/>
      <w:r>
        <w:rPr>
          <w:rFonts w:ascii="Open Sans" w:hAnsi="Open Sans" w:cs="Open Sans"/>
        </w:rPr>
        <w:t>in all likelihood</w:t>
      </w:r>
      <w:proofErr w:type="gramEnd"/>
      <w:r>
        <w:rPr>
          <w:rFonts w:ascii="Open Sans" w:hAnsi="Open Sans" w:cs="Open Sans"/>
        </w:rPr>
        <w:t xml:space="preserve">, IIS will be operating at the Participant Member level. It is not clear how these </w:t>
      </w:r>
      <w:r w:rsidR="006E4CB6">
        <w:rPr>
          <w:rFonts w:ascii="Open Sans" w:hAnsi="Open Sans" w:cs="Open Sans"/>
        </w:rPr>
        <w:t xml:space="preserve">data exchange </w:t>
      </w:r>
      <w:r>
        <w:rPr>
          <w:rFonts w:ascii="Open Sans" w:hAnsi="Open Sans" w:cs="Open Sans"/>
        </w:rPr>
        <w:t xml:space="preserve">pathways will be standardized, adopted, and sustained over time to fully support nation-wide exchange. </w:t>
      </w:r>
    </w:p>
    <w:p w14:paraId="780057E9" w14:textId="450618DD" w:rsidR="00FF577E" w:rsidRPr="00705EDC" w:rsidRDefault="00FF577E" w:rsidP="00FF577E">
      <w:pPr>
        <w:rPr>
          <w:rFonts w:cstheme="minorHAnsi"/>
        </w:rPr>
      </w:pPr>
      <w:r w:rsidRPr="003A41DF">
        <w:rPr>
          <w:rFonts w:ascii="Open Sans" w:hAnsi="Open Sans" w:cs="Open Sans"/>
        </w:rPr>
        <w:t>The following table includes further detailed comments by section</w:t>
      </w:r>
      <w:r w:rsidR="009806B4">
        <w:rPr>
          <w:rFonts w:ascii="Open Sans" w:hAnsi="Open Sans" w:cs="Open Sans"/>
        </w:rPr>
        <w:t>,</w:t>
      </w:r>
      <w:r w:rsidR="009806B4" w:rsidRPr="009806B4">
        <w:rPr>
          <w:rFonts w:ascii="Open Sans" w:hAnsi="Open Sans" w:cs="Open Sans"/>
        </w:rPr>
        <w:t xml:space="preserve"> </w:t>
      </w:r>
      <w:r w:rsidR="009806B4" w:rsidRPr="003A41DF">
        <w:rPr>
          <w:rFonts w:ascii="Open Sans" w:hAnsi="Open Sans" w:cs="Open Sans"/>
        </w:rPr>
        <w:t>called out by page number where appropriate</w:t>
      </w:r>
      <w:r w:rsidRPr="003A41DF">
        <w:rPr>
          <w:rFonts w:ascii="Open Sans" w:hAnsi="Open Sans" w:cs="Open Sans"/>
        </w:rPr>
        <w:t xml:space="preserve">. </w:t>
      </w:r>
      <w:r w:rsidRPr="00705EDC">
        <w:rPr>
          <w:rFonts w:cstheme="minorHAnsi"/>
        </w:rPr>
        <w:t xml:space="preserve">Please contact </w:t>
      </w:r>
      <w:r>
        <w:rPr>
          <w:rFonts w:cstheme="minorHAnsi"/>
        </w:rPr>
        <w:t>Mary Beth Kurilo</w:t>
      </w:r>
      <w:r w:rsidRPr="00705EDC">
        <w:rPr>
          <w:rFonts w:cstheme="minorHAnsi"/>
        </w:rPr>
        <w:t xml:space="preserve">, AIRA’s </w:t>
      </w:r>
      <w:r>
        <w:rPr>
          <w:rFonts w:cstheme="minorHAnsi"/>
        </w:rPr>
        <w:t>Policy and Planning</w:t>
      </w:r>
      <w:r w:rsidRPr="00705EDC">
        <w:rPr>
          <w:rFonts w:cstheme="minorHAnsi"/>
        </w:rPr>
        <w:t xml:space="preserve"> Director, with any questions: </w:t>
      </w:r>
      <w:hyperlink r:id="rId9" w:history="1">
        <w:r w:rsidRPr="000C25C3">
          <w:rPr>
            <w:rStyle w:val="Hyperlink"/>
            <w:rFonts w:cstheme="minorHAnsi"/>
          </w:rPr>
          <w:t>mbkurilo@immregistries.org</w:t>
        </w:r>
      </w:hyperlink>
      <w:r w:rsidRPr="00705EDC">
        <w:rPr>
          <w:rFonts w:cstheme="minorHAnsi"/>
        </w:rPr>
        <w:t xml:space="preserve">. </w:t>
      </w:r>
    </w:p>
    <w:p w14:paraId="7A04653F" w14:textId="713D9FDF" w:rsidR="00FF577E" w:rsidRDefault="00FF577E" w:rsidP="00FF577E">
      <w:pPr>
        <w:spacing w:after="120"/>
        <w:rPr>
          <w:rFonts w:ascii="Open Sans" w:hAnsi="Open Sans" w:cs="Open Sans"/>
        </w:rPr>
      </w:pPr>
      <w:r w:rsidRPr="003A41DF">
        <w:rPr>
          <w:rFonts w:ascii="Open Sans" w:hAnsi="Open Sans" w:cs="Open Sans"/>
        </w:rPr>
        <w:t>AIRA greatly appreciates the efforts of ONC to further interoperability across organizations and jurisdictions, and we look forward to supporting our members and partners as they navigate further exchange both within and outside of the Trusted Exchange Framework</w:t>
      </w:r>
      <w:r>
        <w:rPr>
          <w:rFonts w:ascii="Open Sans" w:hAnsi="Open Sans" w:cs="Open Sans"/>
        </w:rPr>
        <w:t xml:space="preserve"> and Common Agreement</w:t>
      </w:r>
      <w:r w:rsidRPr="003A41DF">
        <w:rPr>
          <w:rFonts w:ascii="Open Sans" w:hAnsi="Open Sans" w:cs="Open Sans"/>
        </w:rPr>
        <w:t xml:space="preserve">. </w:t>
      </w:r>
    </w:p>
    <w:p w14:paraId="2F5D6E61" w14:textId="1D7E9002" w:rsidR="00FF577E" w:rsidRPr="003A41DF" w:rsidRDefault="00FF577E" w:rsidP="00FF577E">
      <w:pPr>
        <w:rPr>
          <w:rFonts w:ascii="Open Sans" w:hAnsi="Open Sans" w:cs="Open Sans"/>
        </w:rPr>
      </w:pPr>
      <w:r w:rsidRPr="003A41DF">
        <w:rPr>
          <w:rFonts w:ascii="Open Sans" w:hAnsi="Open Sans" w:cs="Open Sans"/>
        </w:rPr>
        <w:t>Sincerely,</w:t>
      </w:r>
    </w:p>
    <w:p w14:paraId="2E6058B4" w14:textId="77777777" w:rsidR="00FF577E" w:rsidRPr="003A41DF" w:rsidRDefault="00FF577E" w:rsidP="00FF577E">
      <w:pPr>
        <w:spacing w:after="120"/>
        <w:rPr>
          <w:rFonts w:ascii="Open Sans" w:hAnsi="Open Sans" w:cs="Open Sans"/>
        </w:rPr>
      </w:pPr>
      <w:r w:rsidRPr="003A41DF">
        <w:rPr>
          <w:rFonts w:ascii="Open Sans" w:hAnsi="Open Sans" w:cs="Open Sans"/>
          <w:color w:val="3B3838"/>
        </w:rPr>
        <w:t xml:space="preserve">Rebecca Coyle </w:t>
      </w:r>
      <w:proofErr w:type="spellStart"/>
      <w:r w:rsidRPr="003A41DF">
        <w:rPr>
          <w:rFonts w:ascii="Open Sans" w:hAnsi="Open Sans" w:cs="Open Sans"/>
          <w:color w:val="3B3838"/>
        </w:rPr>
        <w:t>MSEd</w:t>
      </w:r>
      <w:proofErr w:type="spellEnd"/>
      <w:r w:rsidRPr="003A41DF">
        <w:rPr>
          <w:rFonts w:ascii="Open Sans" w:hAnsi="Open Sans" w:cs="Open Sans"/>
          <w:color w:val="3B3838"/>
        </w:rPr>
        <w:t>, Executive Director</w:t>
      </w:r>
      <w:r w:rsidRPr="003A41DF">
        <w:rPr>
          <w:rFonts w:ascii="Open Sans" w:hAnsi="Open Sans" w:cs="Open Sans"/>
          <w:color w:val="3B3838"/>
        </w:rPr>
        <w:br/>
        <w:t>American Immunization Registry Association (AIRA)</w:t>
      </w:r>
      <w:r w:rsidRPr="003A41DF">
        <w:rPr>
          <w:rFonts w:ascii="Open Sans" w:hAnsi="Open Sans" w:cs="Open Sans"/>
        </w:rPr>
        <w:br w:type="page"/>
      </w:r>
    </w:p>
    <w:p w14:paraId="4137C696" w14:textId="3DF16276" w:rsidR="00FF577E" w:rsidRPr="005B573E" w:rsidRDefault="005C2EC3" w:rsidP="00FF577E">
      <w:pPr>
        <w:pStyle w:val="Heading1"/>
        <w:rPr>
          <w:rFonts w:ascii="Open Sans Light" w:hAnsi="Open Sans Light" w:cs="Open Sans Light"/>
        </w:rPr>
      </w:pPr>
      <w:r w:rsidRPr="005C2EC3">
        <w:rPr>
          <w:rFonts w:ascii="Open Sans Light" w:hAnsi="Open Sans Light" w:cs="Open Sans Light"/>
          <w:b/>
          <w:highlight w:val="yellow"/>
        </w:rPr>
        <w:lastRenderedPageBreak/>
        <w:t>DRAFT</w:t>
      </w:r>
      <w:r>
        <w:rPr>
          <w:rFonts w:ascii="Open Sans Light" w:hAnsi="Open Sans Light" w:cs="Open Sans Light"/>
        </w:rPr>
        <w:t xml:space="preserve"> </w:t>
      </w:r>
      <w:r w:rsidR="00FF577E" w:rsidRPr="005B573E">
        <w:rPr>
          <w:rFonts w:ascii="Open Sans Light" w:hAnsi="Open Sans Light" w:cs="Open Sans Light"/>
        </w:rPr>
        <w:t>Comments on the Trusted Exchange Framework</w:t>
      </w:r>
      <w:r w:rsidR="00FF577E">
        <w:rPr>
          <w:rFonts w:ascii="Open Sans Light" w:hAnsi="Open Sans Light" w:cs="Open Sans Light"/>
        </w:rPr>
        <w:t xml:space="preserve"> and Common Agreement, Draft 2</w:t>
      </w:r>
    </w:p>
    <w:p w14:paraId="13CA3020" w14:textId="77777777" w:rsidR="00FF577E" w:rsidRPr="006929CC" w:rsidRDefault="00FF577E" w:rsidP="00FF577E">
      <w:pPr>
        <w:pStyle w:val="Heading3"/>
      </w:pPr>
    </w:p>
    <w:tbl>
      <w:tblPr>
        <w:tblStyle w:val="TableGrid"/>
        <w:tblW w:w="9535" w:type="dxa"/>
        <w:tblLayout w:type="fixed"/>
        <w:tblLook w:val="04A0" w:firstRow="1" w:lastRow="0" w:firstColumn="1" w:lastColumn="0" w:noHBand="0" w:noVBand="1"/>
      </w:tblPr>
      <w:tblGrid>
        <w:gridCol w:w="1345"/>
        <w:gridCol w:w="4050"/>
        <w:gridCol w:w="4140"/>
      </w:tblGrid>
      <w:tr w:rsidR="00FF577E" w:rsidRPr="005B573E" w14:paraId="4B983A6D" w14:textId="77777777" w:rsidTr="00EA7D20">
        <w:trPr>
          <w:cantSplit/>
          <w:tblHeader/>
        </w:trPr>
        <w:tc>
          <w:tcPr>
            <w:tcW w:w="1345" w:type="dxa"/>
            <w:shd w:val="clear" w:color="auto" w:fill="1C3C50" w:themeFill="accent2"/>
            <w:vAlign w:val="center"/>
          </w:tcPr>
          <w:p w14:paraId="4EA507FA" w14:textId="77777777" w:rsidR="00FF577E" w:rsidRPr="005B573E" w:rsidRDefault="00FF577E" w:rsidP="00EA7D20">
            <w:pPr>
              <w:jc w:val="center"/>
              <w:rPr>
                <w:rFonts w:ascii="Open Sans Light" w:hAnsi="Open Sans Light" w:cs="Open Sans Light"/>
                <w:b/>
              </w:rPr>
            </w:pPr>
            <w:r w:rsidRPr="005B573E">
              <w:rPr>
                <w:rFonts w:ascii="Open Sans Light" w:hAnsi="Open Sans Light" w:cs="Open Sans Light"/>
                <w:b/>
              </w:rPr>
              <w:t>Section/ Page Number</w:t>
            </w:r>
          </w:p>
        </w:tc>
        <w:tc>
          <w:tcPr>
            <w:tcW w:w="4050" w:type="dxa"/>
            <w:shd w:val="clear" w:color="auto" w:fill="1C3C50" w:themeFill="accent2"/>
            <w:vAlign w:val="center"/>
          </w:tcPr>
          <w:p w14:paraId="2C2FDF2F" w14:textId="77777777" w:rsidR="00FF577E" w:rsidRPr="005B573E" w:rsidRDefault="00FF577E" w:rsidP="00EA7D20">
            <w:pPr>
              <w:jc w:val="center"/>
              <w:rPr>
                <w:rFonts w:ascii="Open Sans Light" w:hAnsi="Open Sans Light" w:cs="Open Sans Light"/>
                <w:b/>
                <w:sz w:val="26"/>
              </w:rPr>
            </w:pPr>
            <w:r w:rsidRPr="005B573E">
              <w:rPr>
                <w:rFonts w:ascii="Open Sans Light" w:hAnsi="Open Sans Light" w:cs="Open Sans Light"/>
                <w:b/>
                <w:sz w:val="26"/>
              </w:rPr>
              <w:t>Excerpt</w:t>
            </w:r>
          </w:p>
        </w:tc>
        <w:tc>
          <w:tcPr>
            <w:tcW w:w="4140" w:type="dxa"/>
            <w:shd w:val="clear" w:color="auto" w:fill="1C3C50" w:themeFill="accent2"/>
            <w:vAlign w:val="center"/>
          </w:tcPr>
          <w:p w14:paraId="4391CDFD" w14:textId="77777777" w:rsidR="00FF577E" w:rsidRPr="005B573E" w:rsidRDefault="00FF577E" w:rsidP="00EA7D20">
            <w:pPr>
              <w:jc w:val="center"/>
              <w:rPr>
                <w:rFonts w:ascii="Open Sans Light" w:hAnsi="Open Sans Light" w:cs="Open Sans Light"/>
                <w:b/>
                <w:sz w:val="26"/>
              </w:rPr>
            </w:pPr>
            <w:r w:rsidRPr="005B573E">
              <w:rPr>
                <w:rFonts w:ascii="Open Sans Light" w:hAnsi="Open Sans Light" w:cs="Open Sans Light"/>
                <w:b/>
                <w:sz w:val="26"/>
              </w:rPr>
              <w:t>Comment</w:t>
            </w:r>
          </w:p>
        </w:tc>
      </w:tr>
      <w:tr w:rsidR="00093B7D" w14:paraId="5B7BA67A" w14:textId="77777777" w:rsidTr="00EA7D20">
        <w:trPr>
          <w:cantSplit/>
        </w:trPr>
        <w:tc>
          <w:tcPr>
            <w:tcW w:w="1345" w:type="dxa"/>
          </w:tcPr>
          <w:p w14:paraId="178C0DFB" w14:textId="5913D28F" w:rsidR="00093B7D" w:rsidRPr="00292EC6" w:rsidRDefault="00093B7D" w:rsidP="00EA7D20">
            <w:pPr>
              <w:rPr>
                <w:rFonts w:ascii="Open Sans" w:hAnsi="Open Sans" w:cs="Open Sans"/>
                <w:color w:val="000000" w:themeColor="text1"/>
              </w:rPr>
            </w:pPr>
            <w:r w:rsidRPr="00292EC6">
              <w:rPr>
                <w:rFonts w:ascii="Open Sans" w:hAnsi="Open Sans" w:cs="Open Sans"/>
                <w:color w:val="000000" w:themeColor="text1"/>
              </w:rPr>
              <w:t>Page 9</w:t>
            </w:r>
          </w:p>
        </w:tc>
        <w:tc>
          <w:tcPr>
            <w:tcW w:w="4050" w:type="dxa"/>
          </w:tcPr>
          <w:p w14:paraId="7301206F" w14:textId="40811352" w:rsidR="00093B7D" w:rsidRPr="00140151" w:rsidRDefault="00093B7D" w:rsidP="00EA7D20">
            <w:pPr>
              <w:rPr>
                <w:rFonts w:ascii="Open Sans" w:hAnsi="Open Sans" w:cs="Open Sans"/>
                <w:color w:val="000000" w:themeColor="text1"/>
              </w:rPr>
            </w:pPr>
            <w:r w:rsidRPr="00093B7D">
              <w:rPr>
                <w:rFonts w:ascii="Open Sans" w:hAnsi="Open Sans" w:cs="Open Sans"/>
                <w:color w:val="000000" w:themeColor="text1"/>
              </w:rPr>
              <w:t xml:space="preserve">ONC will develop the MRTCs, which will consist of mandatory minimum required terms and conditions with which Qualified Health Information Networks (QHINs) may voluntarily agree to comply. </w:t>
            </w:r>
          </w:p>
        </w:tc>
        <w:tc>
          <w:tcPr>
            <w:tcW w:w="4140" w:type="dxa"/>
          </w:tcPr>
          <w:p w14:paraId="3FA4F16F" w14:textId="77777777" w:rsidR="00093B7D" w:rsidRPr="00093B7D" w:rsidRDefault="00093B7D" w:rsidP="00093B7D">
            <w:pPr>
              <w:rPr>
                <w:rFonts w:ascii="Open Sans" w:hAnsi="Open Sans" w:cs="Open Sans"/>
                <w:color w:val="000000" w:themeColor="text1"/>
              </w:rPr>
            </w:pPr>
            <w:r w:rsidRPr="00093B7D">
              <w:rPr>
                <w:rFonts w:ascii="Open Sans" w:hAnsi="Open Sans" w:cs="Open Sans"/>
                <w:color w:val="000000" w:themeColor="text1"/>
              </w:rPr>
              <w:t xml:space="preserve">This wording seems ambiguous. Is adherence to the MRTCs </w:t>
            </w:r>
            <w:proofErr w:type="gramStart"/>
            <w:r w:rsidRPr="00093B7D">
              <w:rPr>
                <w:rFonts w:ascii="Open Sans" w:hAnsi="Open Sans" w:cs="Open Sans"/>
                <w:color w:val="000000" w:themeColor="text1"/>
              </w:rPr>
              <w:t>really voluntary</w:t>
            </w:r>
            <w:proofErr w:type="gramEnd"/>
            <w:r w:rsidRPr="00093B7D">
              <w:rPr>
                <w:rFonts w:ascii="Open Sans" w:hAnsi="Open Sans" w:cs="Open Sans"/>
                <w:color w:val="000000" w:themeColor="text1"/>
              </w:rPr>
              <w:t xml:space="preserve"> for QHINs? Clarification would be helpful.</w:t>
            </w:r>
          </w:p>
          <w:p w14:paraId="0D4642C1" w14:textId="77777777" w:rsidR="00093B7D" w:rsidRPr="00292EC6" w:rsidRDefault="00093B7D" w:rsidP="00EA7D20">
            <w:pPr>
              <w:rPr>
                <w:rFonts w:ascii="Open Sans" w:hAnsi="Open Sans" w:cs="Open Sans"/>
                <w:color w:val="000000" w:themeColor="text1"/>
              </w:rPr>
            </w:pPr>
          </w:p>
        </w:tc>
      </w:tr>
      <w:tr w:rsidR="000E161A" w14:paraId="061C4DF9" w14:textId="77777777" w:rsidTr="00EA7D20">
        <w:trPr>
          <w:cantSplit/>
        </w:trPr>
        <w:tc>
          <w:tcPr>
            <w:tcW w:w="1345" w:type="dxa"/>
          </w:tcPr>
          <w:p w14:paraId="3356111E" w14:textId="77AA8184" w:rsidR="000E161A" w:rsidRPr="00292EC6" w:rsidRDefault="000E161A" w:rsidP="00EA7D20">
            <w:pPr>
              <w:rPr>
                <w:rFonts w:ascii="Open Sans" w:hAnsi="Open Sans" w:cs="Open Sans"/>
                <w:color w:val="000000" w:themeColor="text1"/>
              </w:rPr>
            </w:pPr>
            <w:r w:rsidRPr="00292EC6">
              <w:rPr>
                <w:rFonts w:ascii="Open Sans" w:hAnsi="Open Sans" w:cs="Open Sans"/>
                <w:color w:val="000000" w:themeColor="text1"/>
              </w:rPr>
              <w:t>Page 10</w:t>
            </w:r>
          </w:p>
        </w:tc>
        <w:tc>
          <w:tcPr>
            <w:tcW w:w="4050" w:type="dxa"/>
          </w:tcPr>
          <w:p w14:paraId="43708330" w14:textId="77777777" w:rsidR="000E161A" w:rsidRPr="000E161A" w:rsidRDefault="000E161A" w:rsidP="000E161A">
            <w:pPr>
              <w:rPr>
                <w:rFonts w:ascii="Open Sans" w:hAnsi="Open Sans" w:cs="Open Sans"/>
                <w:color w:val="000000" w:themeColor="text1"/>
              </w:rPr>
            </w:pPr>
            <w:r w:rsidRPr="000E161A">
              <w:rPr>
                <w:rFonts w:ascii="Open Sans" w:hAnsi="Open Sans" w:cs="Open Sans"/>
                <w:color w:val="000000" w:themeColor="text1"/>
              </w:rPr>
              <w:t xml:space="preserve">The TEF and the Common Agreement follow a “network of networks” structure, which allows for multiple points of entry and is inclusive of many different types of health care stakeholders. Such stakeholders include, but are not limited to: </w:t>
            </w:r>
          </w:p>
          <w:p w14:paraId="07DB8285" w14:textId="4311564C" w:rsidR="000E161A" w:rsidRPr="00292EC6" w:rsidRDefault="000E161A" w:rsidP="00EA7D20">
            <w:pPr>
              <w:numPr>
                <w:ilvl w:val="0"/>
                <w:numId w:val="1"/>
              </w:numPr>
              <w:tabs>
                <w:tab w:val="clear" w:pos="360"/>
              </w:tabs>
              <w:rPr>
                <w:rFonts w:ascii="Open Sans" w:hAnsi="Open Sans" w:cs="Open Sans"/>
                <w:color w:val="000000" w:themeColor="text1"/>
              </w:rPr>
            </w:pPr>
            <w:r w:rsidRPr="000E161A">
              <w:rPr>
                <w:rFonts w:ascii="Open Sans" w:hAnsi="Open Sans" w:cs="Open Sans"/>
                <w:color w:val="000000" w:themeColor="text1"/>
              </w:rPr>
              <w:t>…Public Health Agencies…</w:t>
            </w:r>
          </w:p>
        </w:tc>
        <w:tc>
          <w:tcPr>
            <w:tcW w:w="4140" w:type="dxa"/>
          </w:tcPr>
          <w:p w14:paraId="0B2ADAE6" w14:textId="0A11BC75" w:rsidR="000E161A" w:rsidRPr="00292EC6" w:rsidRDefault="000E161A" w:rsidP="00EA7D20">
            <w:pPr>
              <w:rPr>
                <w:rFonts w:ascii="Open Sans" w:hAnsi="Open Sans" w:cs="Open Sans"/>
                <w:color w:val="000000" w:themeColor="text1"/>
              </w:rPr>
            </w:pPr>
            <w:r w:rsidRPr="00292EC6">
              <w:rPr>
                <w:rFonts w:ascii="Open Sans" w:hAnsi="Open Sans" w:cs="Open Sans"/>
                <w:color w:val="000000" w:themeColor="text1"/>
              </w:rPr>
              <w:t>We appreciate the continued explicit inclusion of public health as a key stakeholder and important contributor to the TEFCA concept.</w:t>
            </w:r>
          </w:p>
        </w:tc>
      </w:tr>
      <w:tr w:rsidR="00FF577E" w14:paraId="5790E52F" w14:textId="77777777" w:rsidTr="00EA7D20">
        <w:trPr>
          <w:cantSplit/>
        </w:trPr>
        <w:tc>
          <w:tcPr>
            <w:tcW w:w="1345" w:type="dxa"/>
          </w:tcPr>
          <w:p w14:paraId="6C0718A7" w14:textId="20DE9312" w:rsidR="00FF577E" w:rsidRPr="00292EC6" w:rsidRDefault="000E161A" w:rsidP="00EA7D20">
            <w:pPr>
              <w:rPr>
                <w:rFonts w:ascii="Open Sans" w:hAnsi="Open Sans" w:cs="Open Sans"/>
                <w:color w:val="000000" w:themeColor="text1"/>
              </w:rPr>
            </w:pPr>
            <w:r w:rsidRPr="00292EC6">
              <w:rPr>
                <w:rFonts w:ascii="Open Sans" w:hAnsi="Open Sans" w:cs="Open Sans"/>
                <w:color w:val="000000" w:themeColor="text1"/>
              </w:rPr>
              <w:lastRenderedPageBreak/>
              <w:t>Page 14</w:t>
            </w:r>
          </w:p>
        </w:tc>
        <w:tc>
          <w:tcPr>
            <w:tcW w:w="4050" w:type="dxa"/>
          </w:tcPr>
          <w:p w14:paraId="6749B235" w14:textId="56D36603" w:rsidR="00FF577E" w:rsidRPr="00292EC6" w:rsidRDefault="000E161A" w:rsidP="00EA7D20">
            <w:pPr>
              <w:rPr>
                <w:rFonts w:ascii="Open Sans" w:hAnsi="Open Sans" w:cs="Open Sans"/>
                <w:color w:val="000000" w:themeColor="text1"/>
              </w:rPr>
            </w:pPr>
            <w:r w:rsidRPr="00292EC6">
              <w:rPr>
                <w:rFonts w:ascii="Open Sans" w:hAnsi="Open Sans" w:cs="Open Sans"/>
                <w:color w:val="000000" w:themeColor="text1"/>
              </w:rPr>
              <w:t xml:space="preserve">Additionally, ONC received </w:t>
            </w:r>
            <w:proofErr w:type="gramStart"/>
            <w:r w:rsidRPr="00292EC6">
              <w:rPr>
                <w:rFonts w:ascii="Open Sans" w:hAnsi="Open Sans" w:cs="Open Sans"/>
                <w:color w:val="000000" w:themeColor="text1"/>
              </w:rPr>
              <w:t>a number of</w:t>
            </w:r>
            <w:proofErr w:type="gramEnd"/>
            <w:r w:rsidRPr="00292EC6">
              <w:rPr>
                <w:rFonts w:ascii="Open Sans" w:hAnsi="Open Sans" w:cs="Open Sans"/>
                <w:color w:val="000000" w:themeColor="text1"/>
              </w:rPr>
              <w:t xml:space="preserve"> requests from commenters to include a “push-based” exchange modality in the TEF and the Common Agreement. Commenters noted that push transactions play a vital role in supporting transitions of care and public health use cases and would be necessary to fully support required Public Health reporting. Therefore, ONC has included QHIN Message Delivery, which supports instances where a QHIN sends EHI to one or more QHINs for delivery. We request comment on the inclusion of QHIN Message Delivery and its definition.</w:t>
            </w:r>
          </w:p>
        </w:tc>
        <w:tc>
          <w:tcPr>
            <w:tcW w:w="4140" w:type="dxa"/>
          </w:tcPr>
          <w:p w14:paraId="114678B1" w14:textId="5F51BD34" w:rsidR="00FF577E" w:rsidRPr="00292EC6" w:rsidRDefault="000E161A"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We strongly support the addition of the “push” use case to TEFCA Draft 2.</w:t>
            </w:r>
            <w:r w:rsidR="00292EC6" w:rsidRPr="00292EC6">
              <w:rPr>
                <w:rFonts w:ascii="Open Sans" w:hAnsi="Open Sans" w:cs="Open Sans"/>
                <w:color w:val="000000" w:themeColor="text1"/>
              </w:rPr>
              <w:t xml:space="preserve"> This addition will allow Public Health to participate meaningfully and broadly in TEFCA. </w:t>
            </w:r>
          </w:p>
        </w:tc>
      </w:tr>
      <w:tr w:rsidR="00D6711F" w14:paraId="4F322CF7" w14:textId="77777777" w:rsidTr="00EA7D20">
        <w:trPr>
          <w:cantSplit/>
        </w:trPr>
        <w:tc>
          <w:tcPr>
            <w:tcW w:w="1345" w:type="dxa"/>
          </w:tcPr>
          <w:p w14:paraId="5F9973E4" w14:textId="3BD0C8F4" w:rsidR="00D6711F" w:rsidRPr="00292EC6" w:rsidRDefault="00D6711F" w:rsidP="00EA7D20">
            <w:pPr>
              <w:rPr>
                <w:rFonts w:ascii="Open Sans" w:hAnsi="Open Sans" w:cs="Open Sans"/>
                <w:color w:val="000000" w:themeColor="text1"/>
              </w:rPr>
            </w:pPr>
            <w:r w:rsidRPr="00292EC6">
              <w:rPr>
                <w:rFonts w:ascii="Open Sans" w:hAnsi="Open Sans" w:cs="Open Sans"/>
                <w:color w:val="000000" w:themeColor="text1"/>
              </w:rPr>
              <w:t>Page 14</w:t>
            </w:r>
          </w:p>
        </w:tc>
        <w:tc>
          <w:tcPr>
            <w:tcW w:w="4050" w:type="dxa"/>
          </w:tcPr>
          <w:p w14:paraId="3EAC28DE" w14:textId="77777777" w:rsidR="00486AE9" w:rsidRPr="00486AE9" w:rsidRDefault="00486AE9" w:rsidP="00486AE9">
            <w:pPr>
              <w:rPr>
                <w:rFonts w:ascii="Open Sans" w:hAnsi="Open Sans" w:cs="Open Sans"/>
                <w:color w:val="000000" w:themeColor="text1"/>
              </w:rPr>
            </w:pPr>
            <w:r w:rsidRPr="00486AE9">
              <w:rPr>
                <w:rFonts w:ascii="Open Sans" w:hAnsi="Open Sans" w:cs="Open Sans"/>
                <w:color w:val="000000" w:themeColor="text1"/>
              </w:rPr>
              <w:t>As such, the TEF, MRTCs, and QTF do not dictate the internal requirements or business structures of QHINs, but rather provide QHINs flexibility to provide different services and support different stakeholders.</w:t>
            </w:r>
          </w:p>
          <w:p w14:paraId="1CFFD2A3" w14:textId="77777777" w:rsidR="00D6711F" w:rsidRPr="00292EC6" w:rsidRDefault="00D6711F" w:rsidP="00EA7D20">
            <w:pPr>
              <w:rPr>
                <w:rFonts w:ascii="Open Sans" w:hAnsi="Open Sans" w:cs="Open Sans"/>
                <w:color w:val="000000" w:themeColor="text1"/>
              </w:rPr>
            </w:pPr>
          </w:p>
        </w:tc>
        <w:tc>
          <w:tcPr>
            <w:tcW w:w="4140" w:type="dxa"/>
          </w:tcPr>
          <w:p w14:paraId="1D4084C5" w14:textId="42C9B75E" w:rsidR="00D6711F" w:rsidRPr="00292EC6" w:rsidRDefault="00486AE9" w:rsidP="00EA7D20">
            <w:pPr>
              <w:autoSpaceDE w:val="0"/>
              <w:autoSpaceDN w:val="0"/>
              <w:adjustRightInd w:val="0"/>
              <w:rPr>
                <w:rFonts w:ascii="Open Sans" w:hAnsi="Open Sans" w:cs="Open Sans"/>
                <w:color w:val="000000" w:themeColor="text1"/>
              </w:rPr>
            </w:pPr>
            <w:r w:rsidRPr="00486AE9">
              <w:rPr>
                <w:rFonts w:ascii="Open Sans" w:hAnsi="Open Sans" w:cs="Open Sans"/>
                <w:color w:val="000000" w:themeColor="text1"/>
              </w:rPr>
              <w:t>While it is important to not micro-manage the activities of QHINs, there may be reason for concern if each QHIN requires adherence to different standards and processes. Some stakeholders, most notably Health IT developers, may need to support participation in multiple QHINs and would be burdened by variations in requirements. We encourage the development of some basic “rules of the road” for intra-QHIN exchanges.</w:t>
            </w:r>
          </w:p>
        </w:tc>
      </w:tr>
      <w:tr w:rsidR="007A54EC" w14:paraId="1D2CE9C6" w14:textId="77777777" w:rsidTr="00EA7D20">
        <w:trPr>
          <w:cantSplit/>
        </w:trPr>
        <w:tc>
          <w:tcPr>
            <w:tcW w:w="1345" w:type="dxa"/>
          </w:tcPr>
          <w:p w14:paraId="155D42A6" w14:textId="72F516AD" w:rsidR="007A54EC" w:rsidRPr="00292EC6" w:rsidRDefault="007A54EC" w:rsidP="00EA7D20">
            <w:pPr>
              <w:rPr>
                <w:rFonts w:ascii="Open Sans" w:hAnsi="Open Sans" w:cs="Open Sans"/>
                <w:color w:val="000000" w:themeColor="text1"/>
              </w:rPr>
            </w:pPr>
            <w:r w:rsidRPr="00292EC6">
              <w:rPr>
                <w:rFonts w:ascii="Open Sans" w:hAnsi="Open Sans" w:cs="Open Sans"/>
                <w:color w:val="000000" w:themeColor="text1"/>
              </w:rPr>
              <w:lastRenderedPageBreak/>
              <w:t>Page 14</w:t>
            </w:r>
          </w:p>
        </w:tc>
        <w:tc>
          <w:tcPr>
            <w:tcW w:w="4050" w:type="dxa"/>
          </w:tcPr>
          <w:p w14:paraId="35D29AE5" w14:textId="3F006957" w:rsidR="007A54EC" w:rsidRPr="00292EC6" w:rsidRDefault="007A54EC" w:rsidP="007A54EC">
            <w:pPr>
              <w:autoSpaceDE w:val="0"/>
              <w:autoSpaceDN w:val="0"/>
              <w:adjustRightInd w:val="0"/>
              <w:spacing w:after="0" w:line="240" w:lineRule="auto"/>
              <w:rPr>
                <w:rFonts w:ascii="Open Sans" w:hAnsi="Open Sans" w:cs="Open Sans"/>
                <w:color w:val="000000" w:themeColor="text1"/>
              </w:rPr>
            </w:pPr>
            <w:r w:rsidRPr="007A54EC">
              <w:rPr>
                <w:rFonts w:ascii="Open Sans" w:hAnsi="Open Sans" w:cs="Open Sans"/>
                <w:color w:val="000000" w:themeColor="text1"/>
              </w:rPr>
              <w:t xml:space="preserve">QHIN Targeted Query: a QHIN’s electronic request for EHI (sometimes referred to as a “pull”) from specific QHINs in the context of the Common Agreement to the extent permitted by the Common Agreement and Applicable Law. </w:t>
            </w:r>
          </w:p>
        </w:tc>
        <w:tc>
          <w:tcPr>
            <w:tcW w:w="4140" w:type="dxa"/>
          </w:tcPr>
          <w:p w14:paraId="6B8D0CB2" w14:textId="187CB153" w:rsidR="007A54EC" w:rsidRPr="00292EC6" w:rsidRDefault="007A54EC" w:rsidP="00292EC6">
            <w:pPr>
              <w:rPr>
                <w:rFonts w:ascii="Open Sans" w:hAnsi="Open Sans" w:cs="Open Sans"/>
                <w:color w:val="000000" w:themeColor="text1"/>
              </w:rPr>
            </w:pPr>
            <w:r w:rsidRPr="00292EC6">
              <w:rPr>
                <w:rFonts w:ascii="Open Sans" w:hAnsi="Open Sans" w:cs="Open Sans"/>
                <w:color w:val="000000" w:themeColor="text1"/>
              </w:rPr>
              <w:t>Since IIS consolidate data from many sources over an individual’s lifespan, data are constantly changing and being updated. To ensure queries result in the most current and “fresh” record, we would recommend that re</w:t>
            </w:r>
            <w:r w:rsidR="00292EC6">
              <w:rPr>
                <w:rFonts w:ascii="Open Sans" w:hAnsi="Open Sans" w:cs="Open Sans"/>
                <w:color w:val="000000" w:themeColor="text1"/>
              </w:rPr>
              <w:t>-</w:t>
            </w:r>
            <w:r w:rsidRPr="00292EC6">
              <w:rPr>
                <w:rFonts w:ascii="Open Sans" w:hAnsi="Open Sans" w:cs="Open Sans"/>
                <w:color w:val="000000" w:themeColor="text1"/>
              </w:rPr>
              <w:t xml:space="preserve">query be considered as a requirement or strongly recommended provision within TEFCA, and that caching data (which could quickly become outdated or “stale”) be strongly discouraged. </w:t>
            </w:r>
          </w:p>
        </w:tc>
      </w:tr>
      <w:tr w:rsidR="00663079" w14:paraId="2AD453C8" w14:textId="77777777" w:rsidTr="00EA7D20">
        <w:trPr>
          <w:cantSplit/>
        </w:trPr>
        <w:tc>
          <w:tcPr>
            <w:tcW w:w="1345" w:type="dxa"/>
          </w:tcPr>
          <w:p w14:paraId="6295C80E" w14:textId="1F1C8F81" w:rsidR="00663079" w:rsidRDefault="00663079" w:rsidP="00EA7D20">
            <w:pPr>
              <w:rPr>
                <w:rFonts w:ascii="Open Sans" w:hAnsi="Open Sans" w:cs="Open Sans"/>
              </w:rPr>
            </w:pPr>
            <w:r>
              <w:rPr>
                <w:rFonts w:ascii="Open Sans" w:hAnsi="Open Sans" w:cs="Open Sans"/>
              </w:rPr>
              <w:lastRenderedPageBreak/>
              <w:t>Page 15</w:t>
            </w:r>
          </w:p>
        </w:tc>
        <w:tc>
          <w:tcPr>
            <w:tcW w:w="4050" w:type="dxa"/>
          </w:tcPr>
          <w:p w14:paraId="2728AF9B" w14:textId="4D8B6B52" w:rsidR="00663079" w:rsidRPr="00292EC6" w:rsidRDefault="00663079" w:rsidP="00486AE9">
            <w:pPr>
              <w:rPr>
                <w:rFonts w:ascii="Open Sans" w:hAnsi="Open Sans" w:cs="Open Sans"/>
                <w:color w:val="000000" w:themeColor="text1"/>
              </w:rPr>
            </w:pPr>
            <w:r w:rsidRPr="00292EC6">
              <w:rPr>
                <w:rFonts w:ascii="Open Sans" w:hAnsi="Open Sans" w:cs="Open Sans"/>
                <w:color w:val="000000" w:themeColor="text1"/>
              </w:rPr>
              <w:t>The Exchange Purpose described as Individual Access in TEF Draft 1 has been modified to Individual Access Services, which includes the HIPAA Privacy Rule right for an individual to view or obtain a copy of his or her Protected Health Information from Covered Entities. The Individual Access Services Exchange Purpose now includes a corresponding requirement for non-HIPAA entities that elect to participate in the Common Agreement. We request comment on the scope of these Exchange Purposes.</w:t>
            </w:r>
          </w:p>
        </w:tc>
        <w:tc>
          <w:tcPr>
            <w:tcW w:w="4140" w:type="dxa"/>
          </w:tcPr>
          <w:p w14:paraId="08BBCA41" w14:textId="47B69ED3" w:rsidR="006C27A1" w:rsidRDefault="00663079" w:rsidP="00486AE9">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 xml:space="preserve">There is some ambiguity regarding the provisions for Individual Access Services and whether a public health registry is required to respond to such a request if it is unable or unwilling to do so. TEFCA clearly states that a response is not necessary if such a response would be against the law (as it is in some jurisdictions). Normally, response to Individual Access Services requests is based on the requirement under HIPAA for covered entities (CE) and their business associates (BA) to provide a patient with his/her EHI on request; the TEFCA draft (in section 7.14(ii)) makes this requirement to respond incumbent on all participants whether they are CEs/BAs or not. </w:t>
            </w:r>
            <w:r w:rsidR="006C27A1" w:rsidRPr="006C27A1">
              <w:rPr>
                <w:rFonts w:ascii="Open Sans" w:hAnsi="Open Sans" w:cs="Open Sans"/>
                <w:color w:val="000000" w:themeColor="text1"/>
              </w:rPr>
              <w:t>Upon careful read of this section it requires a “direct relationship” between the patient and the registry (see definition on p. 33), which does not exist without an explicit offering of this service by the registry. Therefore, it appears that public health registries who do not explicitly offer patient access services are not required to do so. Perhaps ONC should issue a clarification on this issue.</w:t>
            </w:r>
          </w:p>
          <w:p w14:paraId="5EE5A413" w14:textId="0F86DA6B" w:rsidR="00663079" w:rsidRPr="00292EC6" w:rsidRDefault="006C27A1" w:rsidP="00486AE9">
            <w:pPr>
              <w:autoSpaceDE w:val="0"/>
              <w:autoSpaceDN w:val="0"/>
              <w:adjustRightInd w:val="0"/>
              <w:rPr>
                <w:rFonts w:ascii="Open Sans" w:hAnsi="Open Sans" w:cs="Open Sans"/>
                <w:color w:val="000000" w:themeColor="text1"/>
              </w:rPr>
            </w:pPr>
            <w:r>
              <w:rPr>
                <w:rFonts w:ascii="Open Sans" w:hAnsi="Open Sans" w:cs="Open Sans"/>
                <w:color w:val="000000" w:themeColor="text1"/>
              </w:rPr>
              <w:t>It is important to note that s</w:t>
            </w:r>
            <w:r w:rsidR="00663079" w:rsidRPr="00292EC6">
              <w:rPr>
                <w:rFonts w:ascii="Open Sans" w:hAnsi="Open Sans" w:cs="Open Sans"/>
                <w:color w:val="000000" w:themeColor="text1"/>
              </w:rPr>
              <w:t xml:space="preserve">ome public health laws and rules do not allow individuals to access their own data or restrict how access is obtained (Example: a state rule requires the patient to come in person with photo ID for identity proofing). We request that </w:t>
            </w:r>
            <w:r w:rsidR="00663079" w:rsidRPr="00292EC6">
              <w:rPr>
                <w:rFonts w:ascii="Open Sans" w:hAnsi="Open Sans" w:cs="Open Sans"/>
                <w:color w:val="000000" w:themeColor="text1"/>
              </w:rPr>
              <w:lastRenderedPageBreak/>
              <w:t xml:space="preserve">public health be provided a specific </w:t>
            </w:r>
            <w:r w:rsidR="00BE72BB">
              <w:rPr>
                <w:rFonts w:ascii="Open Sans" w:hAnsi="Open Sans" w:cs="Open Sans"/>
                <w:color w:val="000000" w:themeColor="text1"/>
              </w:rPr>
              <w:t xml:space="preserve">and explicit </w:t>
            </w:r>
            <w:r w:rsidR="00663079" w:rsidRPr="00292EC6">
              <w:rPr>
                <w:rFonts w:ascii="Open Sans" w:hAnsi="Open Sans" w:cs="Open Sans"/>
                <w:color w:val="000000" w:themeColor="text1"/>
              </w:rPr>
              <w:t>exemption from this requirement as HIPAA does. A suggestion is to update 8.21 on page 67 to extend the exemption provided to federal agencies there to state and local agencies.</w:t>
            </w:r>
          </w:p>
        </w:tc>
      </w:tr>
      <w:tr w:rsidR="00663079" w14:paraId="052B981A" w14:textId="77777777" w:rsidTr="00EA7D20">
        <w:trPr>
          <w:cantSplit/>
        </w:trPr>
        <w:tc>
          <w:tcPr>
            <w:tcW w:w="1345" w:type="dxa"/>
          </w:tcPr>
          <w:p w14:paraId="174A82E8" w14:textId="30C0D370" w:rsidR="00663079" w:rsidRDefault="00663079" w:rsidP="00EA7D20">
            <w:pPr>
              <w:rPr>
                <w:rFonts w:ascii="Open Sans" w:hAnsi="Open Sans" w:cs="Open Sans"/>
              </w:rPr>
            </w:pPr>
            <w:r>
              <w:rPr>
                <w:rFonts w:ascii="Open Sans" w:hAnsi="Open Sans" w:cs="Open Sans"/>
              </w:rPr>
              <w:lastRenderedPageBreak/>
              <w:t>Page 16</w:t>
            </w:r>
          </w:p>
        </w:tc>
        <w:tc>
          <w:tcPr>
            <w:tcW w:w="4050" w:type="dxa"/>
          </w:tcPr>
          <w:p w14:paraId="208CCE9B" w14:textId="6A2B21BF" w:rsidR="00663079" w:rsidRPr="00292EC6" w:rsidRDefault="00663079" w:rsidP="00486AE9">
            <w:pPr>
              <w:rPr>
                <w:rFonts w:ascii="Open Sans" w:hAnsi="Open Sans" w:cs="Open Sans"/>
                <w:color w:val="000000" w:themeColor="text1"/>
              </w:rPr>
            </w:pPr>
            <w:r w:rsidRPr="00663079">
              <w:rPr>
                <w:rFonts w:ascii="Open Sans" w:hAnsi="Open Sans" w:cs="Open Sans"/>
                <w:color w:val="000000" w:themeColor="text1"/>
              </w:rPr>
              <w:t xml:space="preserve">In order to meet the goals of the Cures Act as well as to help address these concerns and encourage robust data exchange that will ultimately improve the health of patients, the Common Agreement requires non-HIPAA entities, who elect to participate in exchange, to be bound by certain provisions that align with safeguards of the HIPAA Rules. This will bolster data integrity, confidentiality, and security, which is necessary given the evolving cybersecurity threat landscape. </w:t>
            </w:r>
          </w:p>
        </w:tc>
        <w:tc>
          <w:tcPr>
            <w:tcW w:w="4140" w:type="dxa"/>
          </w:tcPr>
          <w:p w14:paraId="7A18877A" w14:textId="77777777" w:rsidR="00663079" w:rsidRDefault="00663079" w:rsidP="00486AE9">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It is not clear what this might mean for non-covered entities in Public Health and the Public Health exclusion for HIPAA disclosures – please articulate more fully. We would recommend an explicit exclusion for non-covered entities in Public Health.</w:t>
            </w:r>
          </w:p>
          <w:p w14:paraId="54DEDF5B" w14:textId="1A1244FD" w:rsidR="006C27A1" w:rsidRPr="00292EC6" w:rsidRDefault="006C27A1" w:rsidP="00486AE9">
            <w:pPr>
              <w:autoSpaceDE w:val="0"/>
              <w:autoSpaceDN w:val="0"/>
              <w:adjustRightInd w:val="0"/>
              <w:rPr>
                <w:rFonts w:ascii="Open Sans" w:hAnsi="Open Sans" w:cs="Open Sans"/>
                <w:color w:val="000000" w:themeColor="text1"/>
              </w:rPr>
            </w:pPr>
            <w:r>
              <w:rPr>
                <w:rFonts w:ascii="Open Sans" w:hAnsi="Open Sans" w:cs="Open Sans"/>
                <w:color w:val="000000" w:themeColor="text1"/>
              </w:rPr>
              <w:t>In addition, if an IIS does provide Individual Access Services, we are not sure this should be subject to HIPAA, as this is a public health function.</w:t>
            </w:r>
          </w:p>
        </w:tc>
      </w:tr>
      <w:tr w:rsidR="00663079" w14:paraId="174886AD" w14:textId="77777777" w:rsidTr="00EA7D20">
        <w:trPr>
          <w:cantSplit/>
        </w:trPr>
        <w:tc>
          <w:tcPr>
            <w:tcW w:w="1345" w:type="dxa"/>
          </w:tcPr>
          <w:p w14:paraId="793BF73E" w14:textId="3031C881" w:rsidR="00663079" w:rsidRDefault="00663079" w:rsidP="00EA7D20">
            <w:pPr>
              <w:rPr>
                <w:rFonts w:ascii="Open Sans" w:hAnsi="Open Sans" w:cs="Open Sans"/>
              </w:rPr>
            </w:pPr>
            <w:r>
              <w:rPr>
                <w:rFonts w:ascii="Open Sans" w:hAnsi="Open Sans" w:cs="Open Sans"/>
              </w:rPr>
              <w:lastRenderedPageBreak/>
              <w:t>Page 17</w:t>
            </w:r>
          </w:p>
        </w:tc>
        <w:tc>
          <w:tcPr>
            <w:tcW w:w="4050" w:type="dxa"/>
          </w:tcPr>
          <w:p w14:paraId="64AC69FA" w14:textId="77777777" w:rsidR="00663079" w:rsidRPr="00663079" w:rsidRDefault="00663079" w:rsidP="00663079">
            <w:pPr>
              <w:rPr>
                <w:rFonts w:ascii="Open Sans" w:hAnsi="Open Sans" w:cs="Open Sans"/>
                <w:color w:val="000000" w:themeColor="text1"/>
              </w:rPr>
            </w:pPr>
            <w:r w:rsidRPr="00663079">
              <w:rPr>
                <w:rFonts w:ascii="Open Sans" w:hAnsi="Open Sans" w:cs="Open Sans"/>
                <w:color w:val="000000" w:themeColor="text1"/>
              </w:rPr>
              <w:t xml:space="preserve">Therefore, the MRTCs Draft 2 requires that QHINs, Participants, and Participant Members provide Individuals with the opportunity to exercise Meaningful Choice to request that their EHI not be Used or Disclosed via the Common Agreement, except as required by Applicable Law. </w:t>
            </w:r>
          </w:p>
          <w:p w14:paraId="0C88FB9D" w14:textId="77777777" w:rsidR="00663079" w:rsidRPr="00292EC6" w:rsidRDefault="00663079" w:rsidP="00486AE9">
            <w:pPr>
              <w:rPr>
                <w:rFonts w:ascii="Open Sans" w:hAnsi="Open Sans" w:cs="Open Sans"/>
                <w:color w:val="000000" w:themeColor="text1"/>
              </w:rPr>
            </w:pPr>
          </w:p>
        </w:tc>
        <w:tc>
          <w:tcPr>
            <w:tcW w:w="4140" w:type="dxa"/>
          </w:tcPr>
          <w:p w14:paraId="7E2973B3" w14:textId="190BAA64" w:rsidR="00663079" w:rsidRPr="00292EC6" w:rsidRDefault="00663079" w:rsidP="00486AE9">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It seems confusing to say that local law supersedes TEFCA, but an entity that participates must abide by their Common Agreement. There is also a lack of clarity about right to opt out vs required reporting laws, and where patient consent is stored. It would be very difficult to reconcile those competing concerns across state lines.  These issues suggest that there may be a level of detail not yet identified or addressed in these documents.</w:t>
            </w:r>
          </w:p>
        </w:tc>
      </w:tr>
      <w:tr w:rsidR="00717472" w14:paraId="37EF8219" w14:textId="77777777" w:rsidTr="00EA7D20">
        <w:trPr>
          <w:cantSplit/>
        </w:trPr>
        <w:tc>
          <w:tcPr>
            <w:tcW w:w="1345" w:type="dxa"/>
          </w:tcPr>
          <w:p w14:paraId="5113930A" w14:textId="14FF5E90" w:rsidR="00717472" w:rsidRDefault="00717472" w:rsidP="00EA7D20">
            <w:pPr>
              <w:rPr>
                <w:rFonts w:ascii="Open Sans" w:hAnsi="Open Sans" w:cs="Open Sans"/>
              </w:rPr>
            </w:pPr>
            <w:r>
              <w:rPr>
                <w:rFonts w:ascii="Open Sans" w:hAnsi="Open Sans" w:cs="Open Sans"/>
              </w:rPr>
              <w:t>Page 19</w:t>
            </w:r>
          </w:p>
        </w:tc>
        <w:tc>
          <w:tcPr>
            <w:tcW w:w="4050" w:type="dxa"/>
          </w:tcPr>
          <w:p w14:paraId="76FCC68A" w14:textId="517EB28F" w:rsidR="00717472" w:rsidRPr="00292EC6" w:rsidRDefault="00717472" w:rsidP="00717472">
            <w:pPr>
              <w:rPr>
                <w:rFonts w:ascii="Open Sans" w:hAnsi="Open Sans" w:cs="Open Sans"/>
                <w:color w:val="000000" w:themeColor="text1"/>
              </w:rPr>
            </w:pPr>
            <w:r w:rsidRPr="00717472">
              <w:rPr>
                <w:rFonts w:ascii="Open Sans" w:hAnsi="Open Sans" w:cs="Open Sans"/>
                <w:color w:val="000000" w:themeColor="text1"/>
              </w:rPr>
              <w:t xml:space="preserve">Labeling shall occur at the highest (document or security header) level. </w:t>
            </w:r>
          </w:p>
        </w:tc>
        <w:tc>
          <w:tcPr>
            <w:tcW w:w="4140" w:type="dxa"/>
          </w:tcPr>
          <w:p w14:paraId="5A598927" w14:textId="56704A2B" w:rsidR="00717472" w:rsidRPr="00292EC6" w:rsidRDefault="00717472" w:rsidP="00717472">
            <w:pPr>
              <w:autoSpaceDE w:val="0"/>
              <w:autoSpaceDN w:val="0"/>
              <w:adjustRightInd w:val="0"/>
              <w:rPr>
                <w:rFonts w:ascii="Open Sans" w:hAnsi="Open Sans" w:cs="Open Sans"/>
                <w:color w:val="000000" w:themeColor="text1"/>
              </w:rPr>
            </w:pPr>
            <w:r w:rsidRPr="00717472">
              <w:rPr>
                <w:rFonts w:ascii="Open Sans" w:hAnsi="Open Sans" w:cs="Open Sans"/>
                <w:color w:val="000000" w:themeColor="text1"/>
              </w:rPr>
              <w:t>The ONC proposed rule calls for security labeling at a more granular level. Should these two proposals by harmonized?</w:t>
            </w:r>
          </w:p>
        </w:tc>
      </w:tr>
      <w:tr w:rsidR="00717472" w14:paraId="42439A78" w14:textId="77777777" w:rsidTr="00EA7D20">
        <w:trPr>
          <w:cantSplit/>
        </w:trPr>
        <w:tc>
          <w:tcPr>
            <w:tcW w:w="1345" w:type="dxa"/>
          </w:tcPr>
          <w:p w14:paraId="4E7DC122" w14:textId="5A34A342" w:rsidR="00717472" w:rsidRPr="00292EC6" w:rsidRDefault="00717472" w:rsidP="00EA7D20">
            <w:pPr>
              <w:rPr>
                <w:rFonts w:ascii="Open Sans" w:hAnsi="Open Sans" w:cs="Open Sans"/>
                <w:color w:val="000000" w:themeColor="text1"/>
              </w:rPr>
            </w:pPr>
            <w:r w:rsidRPr="00292EC6">
              <w:rPr>
                <w:rFonts w:ascii="Open Sans" w:hAnsi="Open Sans" w:cs="Open Sans"/>
                <w:color w:val="000000" w:themeColor="text1"/>
              </w:rPr>
              <w:lastRenderedPageBreak/>
              <w:t>Page 19</w:t>
            </w:r>
          </w:p>
        </w:tc>
        <w:tc>
          <w:tcPr>
            <w:tcW w:w="4050" w:type="dxa"/>
          </w:tcPr>
          <w:p w14:paraId="35686351" w14:textId="77777777" w:rsidR="00717472" w:rsidRPr="00717472" w:rsidRDefault="00717472" w:rsidP="00717472">
            <w:pPr>
              <w:rPr>
                <w:rFonts w:ascii="Open Sans" w:hAnsi="Open Sans" w:cs="Open Sans"/>
                <w:color w:val="000000" w:themeColor="text1"/>
              </w:rPr>
            </w:pPr>
            <w:r w:rsidRPr="00717472">
              <w:rPr>
                <w:rFonts w:ascii="Open Sans" w:hAnsi="Open Sans" w:cs="Open Sans"/>
                <w:color w:val="000000" w:themeColor="text1"/>
              </w:rPr>
              <w:t>Currently, security labels can be placed on data to enable an entity to perform access control decisions on EHI such that only those persons appropriately authorized to access the EHI are able to do so. ONC is considering the inclusion of a new requirement regarding security labeling that states the following:</w:t>
            </w:r>
          </w:p>
          <w:p w14:paraId="49672718" w14:textId="24551713" w:rsidR="00717472" w:rsidRPr="00292EC6" w:rsidRDefault="00717472" w:rsidP="00717472">
            <w:pPr>
              <w:numPr>
                <w:ilvl w:val="0"/>
                <w:numId w:val="15"/>
              </w:numPr>
              <w:rPr>
                <w:rFonts w:ascii="Open Sans" w:hAnsi="Open Sans" w:cs="Open Sans"/>
                <w:color w:val="000000" w:themeColor="text1"/>
              </w:rPr>
            </w:pPr>
            <w:r w:rsidRPr="00717472">
              <w:rPr>
                <w:rFonts w:ascii="Open Sans" w:hAnsi="Open Sans" w:cs="Open Sans"/>
                <w:color w:val="000000" w:themeColor="text1"/>
              </w:rPr>
              <w:t xml:space="preserve">At a minimum, such EHI shall be electronically labeled using the confidentiality code set as referenced in the HL7 Version 3 Implementation Guide: Data Segmentation for Privacy (DS4P), Release 1 (DS4P IG), Part 1: CDA R2 and Privacy Metadata; </w:t>
            </w:r>
          </w:p>
        </w:tc>
        <w:tc>
          <w:tcPr>
            <w:tcW w:w="4140" w:type="dxa"/>
          </w:tcPr>
          <w:p w14:paraId="42D6AF05" w14:textId="7CB22B95" w:rsidR="00717472" w:rsidRPr="00717472" w:rsidRDefault="00717472" w:rsidP="00717472">
            <w:pPr>
              <w:autoSpaceDE w:val="0"/>
              <w:autoSpaceDN w:val="0"/>
              <w:adjustRightInd w:val="0"/>
              <w:rPr>
                <w:rFonts w:ascii="Open Sans" w:hAnsi="Open Sans" w:cs="Open Sans"/>
                <w:color w:val="000000" w:themeColor="text1"/>
              </w:rPr>
            </w:pPr>
            <w:r w:rsidRPr="00717472">
              <w:rPr>
                <w:rFonts w:ascii="Open Sans" w:hAnsi="Open Sans" w:cs="Open Sans"/>
                <w:color w:val="000000" w:themeColor="text1"/>
              </w:rPr>
              <w:t>It’s not clear where/how this HL7 V3 code set would be used in non-V3 EHI exchanges such as V2 or FHIR. Also, please clarify what “at a minimum” means. Are there examples of things that are better than this suggested floor which could be used?</w:t>
            </w:r>
          </w:p>
          <w:p w14:paraId="15539338" w14:textId="77777777" w:rsidR="00717472" w:rsidRPr="00292EC6" w:rsidRDefault="00717472" w:rsidP="00717472">
            <w:pPr>
              <w:autoSpaceDE w:val="0"/>
              <w:autoSpaceDN w:val="0"/>
              <w:adjustRightInd w:val="0"/>
              <w:rPr>
                <w:rFonts w:ascii="Open Sans" w:hAnsi="Open Sans" w:cs="Open Sans"/>
                <w:color w:val="000000" w:themeColor="text1"/>
              </w:rPr>
            </w:pPr>
          </w:p>
        </w:tc>
      </w:tr>
      <w:tr w:rsidR="000E161A" w14:paraId="339C17F9" w14:textId="77777777" w:rsidTr="00EA7D20">
        <w:trPr>
          <w:cantSplit/>
        </w:trPr>
        <w:tc>
          <w:tcPr>
            <w:tcW w:w="1345" w:type="dxa"/>
          </w:tcPr>
          <w:p w14:paraId="3481B024" w14:textId="338B1B8A" w:rsidR="000E161A" w:rsidRPr="00292EC6" w:rsidRDefault="000E161A" w:rsidP="00EA7D20">
            <w:pPr>
              <w:rPr>
                <w:rFonts w:ascii="Open Sans" w:hAnsi="Open Sans" w:cs="Open Sans"/>
                <w:color w:val="000000" w:themeColor="text1"/>
              </w:rPr>
            </w:pPr>
            <w:r w:rsidRPr="00292EC6">
              <w:rPr>
                <w:rFonts w:ascii="Open Sans" w:hAnsi="Open Sans" w:cs="Open Sans"/>
                <w:color w:val="000000" w:themeColor="text1"/>
              </w:rPr>
              <w:t>Page 20</w:t>
            </w:r>
          </w:p>
        </w:tc>
        <w:tc>
          <w:tcPr>
            <w:tcW w:w="4050" w:type="dxa"/>
          </w:tcPr>
          <w:p w14:paraId="08E53B20" w14:textId="77777777" w:rsidR="000E161A" w:rsidRPr="000E161A" w:rsidRDefault="000E161A" w:rsidP="000E161A">
            <w:pPr>
              <w:numPr>
                <w:ilvl w:val="0"/>
                <w:numId w:val="4"/>
              </w:numPr>
              <w:tabs>
                <w:tab w:val="clear" w:pos="360"/>
                <w:tab w:val="num" w:pos="720"/>
              </w:tabs>
              <w:rPr>
                <w:rFonts w:ascii="Open Sans" w:hAnsi="Open Sans" w:cs="Open Sans"/>
                <w:color w:val="000000" w:themeColor="text1"/>
              </w:rPr>
            </w:pPr>
            <w:r w:rsidRPr="000E161A">
              <w:rPr>
                <w:rFonts w:ascii="Open Sans" w:hAnsi="Open Sans" w:cs="Open Sans"/>
                <w:color w:val="000000" w:themeColor="text1"/>
              </w:rPr>
              <w:t xml:space="preserve">QHINs have 12 months to update agreements and technical requirements. </w:t>
            </w:r>
          </w:p>
          <w:p w14:paraId="5D19ED6D" w14:textId="77777777" w:rsidR="000E161A" w:rsidRPr="000E161A" w:rsidRDefault="000E161A" w:rsidP="000E161A">
            <w:pPr>
              <w:rPr>
                <w:rFonts w:ascii="Open Sans" w:hAnsi="Open Sans" w:cs="Open Sans"/>
                <w:color w:val="000000" w:themeColor="text1"/>
              </w:rPr>
            </w:pPr>
            <w:r w:rsidRPr="000E161A">
              <w:rPr>
                <w:rFonts w:ascii="Open Sans" w:hAnsi="Open Sans" w:cs="Open Sans"/>
                <w:color w:val="000000" w:themeColor="text1"/>
              </w:rPr>
              <w:t>Was changed to:</w:t>
            </w:r>
          </w:p>
          <w:p w14:paraId="6E4F1D62" w14:textId="1AA2D89F" w:rsidR="000E161A" w:rsidRPr="00E62792" w:rsidRDefault="000E161A" w:rsidP="00EA7D20">
            <w:pPr>
              <w:numPr>
                <w:ilvl w:val="0"/>
                <w:numId w:val="5"/>
              </w:numPr>
              <w:rPr>
                <w:rFonts w:ascii="Open Sans" w:hAnsi="Open Sans" w:cs="Open Sans"/>
                <w:color w:val="000000" w:themeColor="text1"/>
              </w:rPr>
            </w:pPr>
            <w:r w:rsidRPr="000E161A">
              <w:rPr>
                <w:rFonts w:ascii="Open Sans" w:hAnsi="Open Sans" w:cs="Open Sans"/>
                <w:color w:val="000000" w:themeColor="text1"/>
              </w:rPr>
              <w:t xml:space="preserve">QHINs have 18 months to update agreements and technical requirements. </w:t>
            </w:r>
          </w:p>
        </w:tc>
        <w:tc>
          <w:tcPr>
            <w:tcW w:w="4140" w:type="dxa"/>
          </w:tcPr>
          <w:p w14:paraId="10CD8AE5" w14:textId="77777777" w:rsidR="000E161A" w:rsidRPr="000E161A" w:rsidRDefault="000E161A" w:rsidP="000E161A">
            <w:pPr>
              <w:autoSpaceDE w:val="0"/>
              <w:autoSpaceDN w:val="0"/>
              <w:adjustRightInd w:val="0"/>
              <w:rPr>
                <w:rFonts w:ascii="Open Sans" w:hAnsi="Open Sans" w:cs="Open Sans"/>
                <w:color w:val="000000" w:themeColor="text1"/>
              </w:rPr>
            </w:pPr>
            <w:r w:rsidRPr="000E161A">
              <w:rPr>
                <w:rFonts w:ascii="Open Sans" w:hAnsi="Open Sans" w:cs="Open Sans"/>
                <w:color w:val="000000" w:themeColor="text1"/>
              </w:rPr>
              <w:t>We support the longer timeline, and believe it to be more reasonable and attainable.</w:t>
            </w:r>
          </w:p>
          <w:p w14:paraId="6C271D4E" w14:textId="77777777" w:rsidR="000E161A" w:rsidRPr="00292EC6" w:rsidRDefault="000E161A" w:rsidP="00EA7D20">
            <w:pPr>
              <w:autoSpaceDE w:val="0"/>
              <w:autoSpaceDN w:val="0"/>
              <w:adjustRightInd w:val="0"/>
              <w:rPr>
                <w:rFonts w:ascii="Open Sans" w:hAnsi="Open Sans" w:cs="Open Sans"/>
                <w:color w:val="000000" w:themeColor="text1"/>
              </w:rPr>
            </w:pPr>
          </w:p>
        </w:tc>
      </w:tr>
      <w:tr w:rsidR="0093699F" w14:paraId="386AF139" w14:textId="77777777" w:rsidTr="00EA7D20">
        <w:trPr>
          <w:cantSplit/>
        </w:trPr>
        <w:tc>
          <w:tcPr>
            <w:tcW w:w="1345" w:type="dxa"/>
          </w:tcPr>
          <w:p w14:paraId="29C54D36" w14:textId="3368C231" w:rsidR="0093699F" w:rsidRPr="00292EC6" w:rsidRDefault="0093699F" w:rsidP="00EA7D20">
            <w:pPr>
              <w:rPr>
                <w:rFonts w:ascii="Open Sans" w:hAnsi="Open Sans" w:cs="Open Sans"/>
                <w:color w:val="000000" w:themeColor="text1"/>
              </w:rPr>
            </w:pPr>
            <w:r w:rsidRPr="00292EC6">
              <w:rPr>
                <w:rFonts w:ascii="Open Sans" w:hAnsi="Open Sans" w:cs="Open Sans"/>
                <w:color w:val="000000" w:themeColor="text1"/>
              </w:rPr>
              <w:lastRenderedPageBreak/>
              <w:t>Page 20</w:t>
            </w:r>
          </w:p>
        </w:tc>
        <w:tc>
          <w:tcPr>
            <w:tcW w:w="4050" w:type="dxa"/>
          </w:tcPr>
          <w:p w14:paraId="7BD65BEA" w14:textId="77777777" w:rsidR="0093699F" w:rsidRPr="0093699F" w:rsidRDefault="0093699F" w:rsidP="00A21E08">
            <w:pPr>
              <w:numPr>
                <w:ilvl w:val="0"/>
                <w:numId w:val="20"/>
              </w:numPr>
              <w:ind w:left="360"/>
              <w:rPr>
                <w:rFonts w:ascii="Open Sans" w:hAnsi="Open Sans" w:cs="Open Sans"/>
                <w:color w:val="000000" w:themeColor="text1"/>
              </w:rPr>
            </w:pPr>
            <w:r w:rsidRPr="0093699F">
              <w:rPr>
                <w:rFonts w:ascii="Open Sans" w:hAnsi="Open Sans" w:cs="Open Sans"/>
                <w:color w:val="000000" w:themeColor="text1"/>
              </w:rPr>
              <w:t xml:space="preserve">QHINs may not charge other QHINs to respond to queries for Individual Access, Public Health, or Benefits Determination. </w:t>
            </w:r>
          </w:p>
          <w:p w14:paraId="69910E9A" w14:textId="77777777" w:rsidR="0093699F" w:rsidRPr="0093699F" w:rsidRDefault="0093699F" w:rsidP="00A21E08">
            <w:pPr>
              <w:rPr>
                <w:rFonts w:ascii="Open Sans" w:hAnsi="Open Sans" w:cs="Open Sans"/>
                <w:color w:val="000000" w:themeColor="text1"/>
              </w:rPr>
            </w:pPr>
            <w:r w:rsidRPr="0093699F">
              <w:rPr>
                <w:rFonts w:ascii="Open Sans" w:hAnsi="Open Sans" w:cs="Open Sans"/>
                <w:color w:val="000000" w:themeColor="text1"/>
              </w:rPr>
              <w:t>Was changed to:</w:t>
            </w:r>
          </w:p>
          <w:p w14:paraId="7CEA07AD" w14:textId="77777777" w:rsidR="0093699F" w:rsidRPr="0093699F" w:rsidRDefault="0093699F" w:rsidP="00A21E08">
            <w:pPr>
              <w:numPr>
                <w:ilvl w:val="0"/>
                <w:numId w:val="21"/>
              </w:numPr>
              <w:ind w:left="360"/>
              <w:rPr>
                <w:rFonts w:ascii="Open Sans" w:hAnsi="Open Sans" w:cs="Open Sans"/>
                <w:color w:val="000000" w:themeColor="text1"/>
              </w:rPr>
            </w:pPr>
            <w:r w:rsidRPr="0093699F">
              <w:rPr>
                <w:rFonts w:ascii="Open Sans" w:hAnsi="Open Sans" w:cs="Open Sans"/>
                <w:color w:val="000000" w:themeColor="text1"/>
              </w:rPr>
              <w:t xml:space="preserve">QHINs may not impose any other fee on the Use or further Disclosure of the EHI once it is accessed by another QHIN. </w:t>
            </w:r>
          </w:p>
          <w:p w14:paraId="112FCB4A" w14:textId="77777777" w:rsidR="0093699F" w:rsidRPr="00292EC6" w:rsidRDefault="0093699F" w:rsidP="0093699F">
            <w:pPr>
              <w:rPr>
                <w:rFonts w:ascii="Open Sans" w:hAnsi="Open Sans" w:cs="Open Sans"/>
                <w:color w:val="000000" w:themeColor="text1"/>
              </w:rPr>
            </w:pPr>
          </w:p>
        </w:tc>
        <w:tc>
          <w:tcPr>
            <w:tcW w:w="4140" w:type="dxa"/>
          </w:tcPr>
          <w:p w14:paraId="719691F9" w14:textId="7022DE41" w:rsidR="0093699F" w:rsidRPr="00292EC6" w:rsidRDefault="00A21E08" w:rsidP="000E161A">
            <w:pPr>
              <w:autoSpaceDE w:val="0"/>
              <w:autoSpaceDN w:val="0"/>
              <w:adjustRightInd w:val="0"/>
              <w:rPr>
                <w:rFonts w:ascii="Open Sans" w:hAnsi="Open Sans" w:cs="Open Sans"/>
                <w:color w:val="000000" w:themeColor="text1"/>
              </w:rPr>
            </w:pPr>
            <w:r w:rsidRPr="00A21E08">
              <w:rPr>
                <w:rFonts w:ascii="Open Sans" w:hAnsi="Open Sans" w:cs="Open Sans"/>
                <w:color w:val="000000" w:themeColor="text1"/>
              </w:rPr>
              <w:t xml:space="preserve">It is not clear what the implication is if Public Health related queries are not exempted from fees. Does this mean that a Public Health entity may need to pay for access to data held by QHINs and their participants? Does this mean that a Public Health entity may charge users for access to data held by the entity? Given the </w:t>
            </w:r>
            <w:r w:rsidRPr="00292EC6">
              <w:rPr>
                <w:rFonts w:ascii="Open Sans" w:hAnsi="Open Sans" w:cs="Open Sans"/>
                <w:color w:val="000000" w:themeColor="text1"/>
              </w:rPr>
              <w:t xml:space="preserve">critically </w:t>
            </w:r>
            <w:r w:rsidRPr="00A21E08">
              <w:rPr>
                <w:rFonts w:ascii="Open Sans" w:hAnsi="Open Sans" w:cs="Open Sans"/>
                <w:color w:val="000000" w:themeColor="text1"/>
              </w:rPr>
              <w:t>important role Public Health data plays in maintaining healthy populat</w:t>
            </w:r>
            <w:r w:rsidR="00754390">
              <w:rPr>
                <w:rFonts w:ascii="Open Sans" w:hAnsi="Open Sans" w:cs="Open Sans"/>
                <w:color w:val="000000" w:themeColor="text1"/>
              </w:rPr>
              <w:t>ions</w:t>
            </w:r>
            <w:r w:rsidRPr="00A21E08">
              <w:rPr>
                <w:rFonts w:ascii="Open Sans" w:hAnsi="Open Sans" w:cs="Open Sans"/>
                <w:color w:val="000000" w:themeColor="text1"/>
              </w:rPr>
              <w:t xml:space="preserve">, </w:t>
            </w:r>
            <w:r w:rsidRPr="00292EC6">
              <w:rPr>
                <w:rFonts w:ascii="Open Sans" w:hAnsi="Open Sans" w:cs="Open Sans"/>
                <w:color w:val="000000" w:themeColor="text1"/>
              </w:rPr>
              <w:t xml:space="preserve">we strongly advocate for </w:t>
            </w:r>
            <w:r w:rsidRPr="00A21E08">
              <w:rPr>
                <w:rFonts w:ascii="Open Sans" w:hAnsi="Open Sans" w:cs="Open Sans"/>
                <w:color w:val="000000" w:themeColor="text1"/>
              </w:rPr>
              <w:t>restoration of the prior wording</w:t>
            </w:r>
            <w:r w:rsidRPr="00292EC6">
              <w:rPr>
                <w:rFonts w:ascii="Open Sans" w:hAnsi="Open Sans" w:cs="Open Sans"/>
                <w:color w:val="000000" w:themeColor="text1"/>
              </w:rPr>
              <w:t>.</w:t>
            </w:r>
          </w:p>
        </w:tc>
      </w:tr>
      <w:tr w:rsidR="00FF577E" w14:paraId="5B1087CE" w14:textId="77777777" w:rsidTr="00EA7D20">
        <w:trPr>
          <w:cantSplit/>
        </w:trPr>
        <w:tc>
          <w:tcPr>
            <w:tcW w:w="1345" w:type="dxa"/>
          </w:tcPr>
          <w:p w14:paraId="6CB50F78" w14:textId="20C24E89" w:rsidR="00FF577E" w:rsidRPr="00292EC6" w:rsidRDefault="000E161A" w:rsidP="00EA7D20">
            <w:pPr>
              <w:rPr>
                <w:rFonts w:ascii="Open Sans" w:hAnsi="Open Sans" w:cs="Open Sans"/>
                <w:color w:val="000000" w:themeColor="text1"/>
              </w:rPr>
            </w:pPr>
            <w:r w:rsidRPr="00292EC6">
              <w:rPr>
                <w:rFonts w:ascii="Open Sans" w:hAnsi="Open Sans" w:cs="Open Sans"/>
                <w:color w:val="000000" w:themeColor="text1"/>
              </w:rPr>
              <w:t>Page 25</w:t>
            </w:r>
          </w:p>
        </w:tc>
        <w:tc>
          <w:tcPr>
            <w:tcW w:w="4050" w:type="dxa"/>
          </w:tcPr>
          <w:p w14:paraId="791F4ECC" w14:textId="04B568D7" w:rsidR="00FF577E" w:rsidRPr="00292EC6" w:rsidRDefault="000E161A" w:rsidP="00EA7D20">
            <w:pPr>
              <w:textAlignment w:val="center"/>
              <w:rPr>
                <w:rFonts w:ascii="Open Sans" w:hAnsi="Open Sans" w:cs="Open Sans"/>
                <w:color w:val="000000" w:themeColor="text1"/>
              </w:rPr>
            </w:pPr>
            <w:r w:rsidRPr="000E161A">
              <w:rPr>
                <w:rFonts w:ascii="Open Sans" w:hAnsi="Open Sans" w:cs="Open Sans"/>
                <w:color w:val="000000" w:themeColor="text1"/>
              </w:rPr>
              <w:t>Specifically, HINs should first look to use standards adopted by HHS, then those approved by ONC through the proposed standards version advancement process as part of the ONC Health IT Certification Program (Certification Program), and finally, those identified in the ISA. In instances where none of the above references include applicable standards, HINs should then consider voluntary consensus or industry standards that are readily available to all stakeholders…</w:t>
            </w:r>
          </w:p>
        </w:tc>
        <w:tc>
          <w:tcPr>
            <w:tcW w:w="4140" w:type="dxa"/>
          </w:tcPr>
          <w:p w14:paraId="411EF101" w14:textId="58777B6F" w:rsidR="00FF577E" w:rsidRPr="00292EC6" w:rsidRDefault="000E161A" w:rsidP="00EA7D20">
            <w:pPr>
              <w:textAlignment w:val="center"/>
              <w:rPr>
                <w:rFonts w:ascii="Open Sans" w:hAnsi="Open Sans" w:cs="Open Sans"/>
                <w:color w:val="000000" w:themeColor="text1"/>
              </w:rPr>
            </w:pPr>
            <w:r w:rsidRPr="00292EC6">
              <w:rPr>
                <w:rFonts w:ascii="Open Sans" w:hAnsi="Open Sans" w:cs="Open Sans"/>
                <w:color w:val="000000" w:themeColor="text1"/>
              </w:rPr>
              <w:t>This schema is helpful to organize adherence to standards in a prioritized order.</w:t>
            </w:r>
          </w:p>
        </w:tc>
      </w:tr>
      <w:tr w:rsidR="00663079" w14:paraId="3B21CEF5" w14:textId="77777777" w:rsidTr="00EA7D20">
        <w:trPr>
          <w:cantSplit/>
        </w:trPr>
        <w:tc>
          <w:tcPr>
            <w:tcW w:w="1345" w:type="dxa"/>
          </w:tcPr>
          <w:p w14:paraId="4289D43A" w14:textId="1D8958BC" w:rsidR="00663079" w:rsidRPr="00292EC6" w:rsidRDefault="00663079" w:rsidP="00EA7D20">
            <w:pPr>
              <w:rPr>
                <w:rFonts w:ascii="Open Sans" w:hAnsi="Open Sans" w:cs="Open Sans"/>
                <w:color w:val="000000" w:themeColor="text1"/>
              </w:rPr>
            </w:pPr>
            <w:r w:rsidRPr="00292EC6">
              <w:rPr>
                <w:rFonts w:ascii="Open Sans" w:hAnsi="Open Sans" w:cs="Open Sans"/>
                <w:color w:val="000000" w:themeColor="text1"/>
              </w:rPr>
              <w:lastRenderedPageBreak/>
              <w:t>Page 28</w:t>
            </w:r>
          </w:p>
        </w:tc>
        <w:tc>
          <w:tcPr>
            <w:tcW w:w="4050" w:type="dxa"/>
          </w:tcPr>
          <w:p w14:paraId="27419E25" w14:textId="77777777" w:rsidR="00663079" w:rsidRPr="00663079" w:rsidRDefault="00663079" w:rsidP="00663079">
            <w:pPr>
              <w:rPr>
                <w:rFonts w:ascii="Open Sans" w:hAnsi="Open Sans" w:cs="Open Sans"/>
                <w:color w:val="000000" w:themeColor="text1"/>
              </w:rPr>
            </w:pPr>
            <w:r w:rsidRPr="00663079">
              <w:rPr>
                <w:rFonts w:ascii="Open Sans" w:hAnsi="Open Sans" w:cs="Open Sans"/>
                <w:color w:val="000000" w:themeColor="text1"/>
              </w:rPr>
              <w:t xml:space="preserve">To support accurate matching, HINs should agree upon and consistently share a core set of demographic data each time that EHI is requested. Likewise, participants of HINs should ensure that the core set of demographic data is consistently captured for all individuals so that it can be exchanged in a standard format and used to accurately match data. </w:t>
            </w:r>
          </w:p>
          <w:p w14:paraId="3C9F902F" w14:textId="77777777" w:rsidR="00663079" w:rsidRPr="00486AE9" w:rsidRDefault="00663079" w:rsidP="00486AE9">
            <w:pPr>
              <w:rPr>
                <w:rFonts w:ascii="Open Sans" w:hAnsi="Open Sans" w:cs="Open Sans"/>
                <w:color w:val="000000" w:themeColor="text1"/>
              </w:rPr>
            </w:pPr>
          </w:p>
        </w:tc>
        <w:tc>
          <w:tcPr>
            <w:tcW w:w="4140" w:type="dxa"/>
          </w:tcPr>
          <w:p w14:paraId="506B301E" w14:textId="001C8CEF" w:rsidR="00663079" w:rsidRPr="00292EC6" w:rsidRDefault="00663079"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The issue of patient matching across the healthcare ecosystem continues to be a serious obstacle to interoperability. The description of patient matching for query purposes within the MRTC presents a rather simplistic view of patient matching, with no recognition of the complexity of uncertain matches, multiple matches, and similar issues. The Patient Identity Resolution section of the QTF does detail more expectations of a QHIN in this area but offers no real solutions to the difficulties we all experience.</w:t>
            </w:r>
          </w:p>
        </w:tc>
      </w:tr>
      <w:tr w:rsidR="00FF577E" w14:paraId="64EAEF95" w14:textId="77777777" w:rsidTr="00EA7D20">
        <w:trPr>
          <w:cantSplit/>
        </w:trPr>
        <w:tc>
          <w:tcPr>
            <w:tcW w:w="1345" w:type="dxa"/>
          </w:tcPr>
          <w:p w14:paraId="2436DEE0" w14:textId="673C805D" w:rsidR="00FF577E" w:rsidRPr="00292EC6" w:rsidRDefault="00486AE9" w:rsidP="00EA7D20">
            <w:pPr>
              <w:rPr>
                <w:rFonts w:ascii="Open Sans" w:hAnsi="Open Sans" w:cs="Open Sans"/>
                <w:color w:val="000000" w:themeColor="text1"/>
              </w:rPr>
            </w:pPr>
            <w:r w:rsidRPr="00292EC6">
              <w:rPr>
                <w:rFonts w:ascii="Open Sans" w:hAnsi="Open Sans" w:cs="Open Sans"/>
                <w:color w:val="000000" w:themeColor="text1"/>
              </w:rPr>
              <w:t>Page</w:t>
            </w:r>
            <w:r w:rsidR="00717472" w:rsidRPr="00292EC6">
              <w:rPr>
                <w:rFonts w:ascii="Open Sans" w:hAnsi="Open Sans" w:cs="Open Sans"/>
                <w:color w:val="000000" w:themeColor="text1"/>
              </w:rPr>
              <w:t>s</w:t>
            </w:r>
            <w:r w:rsidRPr="00292EC6">
              <w:rPr>
                <w:rFonts w:ascii="Open Sans" w:hAnsi="Open Sans" w:cs="Open Sans"/>
                <w:color w:val="000000" w:themeColor="text1"/>
              </w:rPr>
              <w:t xml:space="preserve"> 9, 10, 34</w:t>
            </w:r>
          </w:p>
        </w:tc>
        <w:tc>
          <w:tcPr>
            <w:tcW w:w="4050" w:type="dxa"/>
          </w:tcPr>
          <w:p w14:paraId="0F7EE67E" w14:textId="77777777" w:rsidR="00486AE9" w:rsidRPr="00486AE9" w:rsidRDefault="00486AE9" w:rsidP="00486AE9">
            <w:pPr>
              <w:rPr>
                <w:rFonts w:ascii="Open Sans" w:hAnsi="Open Sans" w:cs="Open Sans"/>
                <w:color w:val="000000" w:themeColor="text1"/>
              </w:rPr>
            </w:pPr>
            <w:r w:rsidRPr="00486AE9">
              <w:rPr>
                <w:rFonts w:ascii="Open Sans" w:hAnsi="Open Sans" w:cs="Open Sans"/>
                <w:color w:val="000000" w:themeColor="text1"/>
              </w:rPr>
              <w:t xml:space="preserve">Pgs. 9-10: This Common Agreement would be based on the TEF noted above and would be comprised of three parts: </w:t>
            </w:r>
          </w:p>
          <w:p w14:paraId="125D1BC2" w14:textId="77777777" w:rsidR="00486AE9" w:rsidRPr="00486AE9" w:rsidRDefault="00486AE9" w:rsidP="00486AE9">
            <w:pPr>
              <w:numPr>
                <w:ilvl w:val="0"/>
                <w:numId w:val="11"/>
              </w:numPr>
              <w:rPr>
                <w:rFonts w:ascii="Open Sans" w:hAnsi="Open Sans" w:cs="Open Sans"/>
                <w:color w:val="000000" w:themeColor="text1"/>
              </w:rPr>
            </w:pPr>
            <w:r w:rsidRPr="00486AE9">
              <w:rPr>
                <w:rFonts w:ascii="Open Sans" w:hAnsi="Open Sans" w:cs="Open Sans"/>
                <w:color w:val="000000" w:themeColor="text1"/>
              </w:rPr>
              <w:t>MRTCs, ARTCs, and the QHIN Technical Framework</w:t>
            </w:r>
          </w:p>
          <w:p w14:paraId="18FEACDB" w14:textId="77777777" w:rsidR="00486AE9" w:rsidRPr="00486AE9" w:rsidRDefault="00486AE9" w:rsidP="00486AE9">
            <w:pPr>
              <w:rPr>
                <w:rFonts w:ascii="Open Sans" w:hAnsi="Open Sans" w:cs="Open Sans"/>
                <w:color w:val="000000" w:themeColor="text1"/>
              </w:rPr>
            </w:pPr>
            <w:r w:rsidRPr="00486AE9">
              <w:rPr>
                <w:rFonts w:ascii="Open Sans" w:hAnsi="Open Sans" w:cs="Open Sans"/>
                <w:color w:val="000000" w:themeColor="text1"/>
              </w:rPr>
              <w:t>But:</w:t>
            </w:r>
          </w:p>
          <w:p w14:paraId="68110692" w14:textId="246AAB63" w:rsidR="00FF577E" w:rsidRPr="00140151" w:rsidRDefault="00486AE9" w:rsidP="00EA7D20">
            <w:pPr>
              <w:rPr>
                <w:rFonts w:ascii="Open Sans" w:hAnsi="Open Sans" w:cs="Open Sans"/>
                <w:color w:val="000000" w:themeColor="text1"/>
              </w:rPr>
            </w:pPr>
            <w:r w:rsidRPr="00486AE9">
              <w:rPr>
                <w:rFonts w:ascii="Open Sans" w:hAnsi="Open Sans" w:cs="Open Sans"/>
                <w:color w:val="000000" w:themeColor="text1"/>
              </w:rPr>
              <w:t xml:space="preserve">Pg. 34: The Common Agreement shall consist of (a) the Minimum Required Terms and Conditions, (b) the Additional Required Terms and Conditions, and (c) such other terms as the RCE and the QHIN mutually agree upon; </w:t>
            </w:r>
          </w:p>
        </w:tc>
        <w:tc>
          <w:tcPr>
            <w:tcW w:w="4140" w:type="dxa"/>
          </w:tcPr>
          <w:p w14:paraId="70360F04" w14:textId="76E693A2" w:rsidR="00FF577E" w:rsidRPr="00292EC6" w:rsidRDefault="00486AE9"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The document appears to be inconsistent across these two sections.</w:t>
            </w:r>
          </w:p>
        </w:tc>
      </w:tr>
      <w:tr w:rsidR="00E553CC" w14:paraId="35AC79FD" w14:textId="77777777" w:rsidTr="00EA7D20">
        <w:trPr>
          <w:cantSplit/>
        </w:trPr>
        <w:tc>
          <w:tcPr>
            <w:tcW w:w="1345" w:type="dxa"/>
          </w:tcPr>
          <w:p w14:paraId="5BD32EBB" w14:textId="46A2E2B0" w:rsidR="00E553CC" w:rsidRPr="00292EC6" w:rsidRDefault="00E553CC" w:rsidP="00EA7D20">
            <w:pPr>
              <w:rPr>
                <w:rFonts w:ascii="Open Sans" w:hAnsi="Open Sans" w:cs="Open Sans"/>
                <w:color w:val="000000" w:themeColor="text1"/>
              </w:rPr>
            </w:pPr>
            <w:r w:rsidRPr="00292EC6">
              <w:rPr>
                <w:rFonts w:ascii="Open Sans" w:hAnsi="Open Sans" w:cs="Open Sans"/>
                <w:color w:val="000000" w:themeColor="text1"/>
              </w:rPr>
              <w:lastRenderedPageBreak/>
              <w:t>Page 34</w:t>
            </w:r>
          </w:p>
        </w:tc>
        <w:tc>
          <w:tcPr>
            <w:tcW w:w="4050" w:type="dxa"/>
          </w:tcPr>
          <w:p w14:paraId="4FB4B594" w14:textId="71DF6010" w:rsidR="00E553CC" w:rsidRPr="00486AE9" w:rsidRDefault="00E553CC" w:rsidP="00486AE9">
            <w:pPr>
              <w:rPr>
                <w:rFonts w:ascii="Open Sans" w:hAnsi="Open Sans" w:cs="Open Sans"/>
                <w:color w:val="000000" w:themeColor="text1"/>
              </w:rPr>
            </w:pPr>
            <w:r w:rsidRPr="00292EC6">
              <w:rPr>
                <w:rFonts w:ascii="Open Sans" w:hAnsi="Open Sans" w:cs="Open Sans"/>
                <w:color w:val="000000" w:themeColor="text1"/>
              </w:rPr>
              <w:t>Electronic Health Information (EHI): Electronic Protected Health Information, and any other information that identifies the individual, or with respect to which there is a reasonable basis to believe the information can be used to identify the individual and is transmitted by or maintained in “electronic media,” as defined at 45 CFR § 160.103, that relates to the past, present, or future health or condition of an individual; the provision of health care to an individual; or the past, present, or future payment for the provision of health care to an individual.</w:t>
            </w:r>
          </w:p>
        </w:tc>
        <w:tc>
          <w:tcPr>
            <w:tcW w:w="4140" w:type="dxa"/>
          </w:tcPr>
          <w:p w14:paraId="62A6D7AA" w14:textId="32365044" w:rsidR="00E553CC" w:rsidRPr="00292EC6" w:rsidRDefault="00E553CC"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As in the ONC Notice of Proposed Rule Making (NPRM), there is some confusion in the inclusive definition and scope of Electronic Health Information (EHI). It is critical that this key definition and its relationship to the emerging US Core Data for Interoperability (</w:t>
            </w:r>
            <w:hyperlink r:id="rId10" w:history="1">
              <w:r w:rsidRPr="00292EC6">
                <w:rPr>
                  <w:color w:val="000000" w:themeColor="text1"/>
                </w:rPr>
                <w:t>USCDI</w:t>
              </w:r>
            </w:hyperlink>
            <w:r w:rsidRPr="00292EC6">
              <w:rPr>
                <w:rFonts w:ascii="Open Sans" w:hAnsi="Open Sans" w:cs="Open Sans"/>
                <w:color w:val="000000" w:themeColor="text1"/>
              </w:rPr>
              <w:t>) be reconciled.</w:t>
            </w:r>
          </w:p>
        </w:tc>
      </w:tr>
      <w:tr w:rsidR="00E553CC" w14:paraId="72ACC97C" w14:textId="77777777" w:rsidTr="00EA7D20">
        <w:trPr>
          <w:cantSplit/>
        </w:trPr>
        <w:tc>
          <w:tcPr>
            <w:tcW w:w="1345" w:type="dxa"/>
          </w:tcPr>
          <w:p w14:paraId="63BC8000" w14:textId="378E16A1" w:rsidR="00E553CC" w:rsidRPr="00292EC6" w:rsidRDefault="00E553CC" w:rsidP="00EA7D20">
            <w:pPr>
              <w:rPr>
                <w:rFonts w:ascii="Open Sans" w:hAnsi="Open Sans" w:cs="Open Sans"/>
                <w:color w:val="000000" w:themeColor="text1"/>
              </w:rPr>
            </w:pPr>
            <w:r w:rsidRPr="00292EC6">
              <w:rPr>
                <w:rFonts w:ascii="Open Sans" w:hAnsi="Open Sans" w:cs="Open Sans"/>
                <w:color w:val="000000" w:themeColor="text1"/>
              </w:rPr>
              <w:lastRenderedPageBreak/>
              <w:t>Pages 34-35</w:t>
            </w:r>
          </w:p>
        </w:tc>
        <w:tc>
          <w:tcPr>
            <w:tcW w:w="4050" w:type="dxa"/>
          </w:tcPr>
          <w:p w14:paraId="311F9170" w14:textId="77777777" w:rsidR="00E553CC" w:rsidRPr="00E553CC" w:rsidRDefault="00E553CC" w:rsidP="00E553CC">
            <w:pPr>
              <w:rPr>
                <w:rFonts w:ascii="Open Sans" w:hAnsi="Open Sans" w:cs="Open Sans"/>
                <w:color w:val="000000" w:themeColor="text1"/>
              </w:rPr>
            </w:pPr>
            <w:r w:rsidRPr="00E553CC">
              <w:rPr>
                <w:rFonts w:ascii="Open Sans" w:hAnsi="Open Sans" w:cs="Open Sans"/>
                <w:color w:val="000000" w:themeColor="text1"/>
              </w:rPr>
              <w:t xml:space="preserve">Health Information Network (HIN): an individual or an entity that satisfies one or both of the following- </w:t>
            </w:r>
          </w:p>
          <w:p w14:paraId="231B3321" w14:textId="77777777" w:rsidR="00E553CC" w:rsidRPr="00E553CC" w:rsidRDefault="00E553CC" w:rsidP="00E553CC">
            <w:pPr>
              <w:rPr>
                <w:rFonts w:ascii="Open Sans" w:hAnsi="Open Sans" w:cs="Open Sans"/>
                <w:color w:val="000000" w:themeColor="text1"/>
              </w:rPr>
            </w:pPr>
            <w:r w:rsidRPr="00E553CC">
              <w:rPr>
                <w:rFonts w:ascii="Open Sans" w:hAnsi="Open Sans" w:cs="Open Sans"/>
                <w:color w:val="000000" w:themeColor="text1"/>
              </w:rPr>
              <w:t xml:space="preserve">1) Determines, oversees, administers, controls, or substantially influences policies or agreements that define business, operational, technical, or other conditions or requirements for enabling or facilitating access, exchange, or use of electronic health information between or among two or more unaffiliated individuals or entities; or </w:t>
            </w:r>
          </w:p>
          <w:p w14:paraId="5187690C" w14:textId="417C07CF" w:rsidR="00E553CC" w:rsidRPr="00292EC6" w:rsidRDefault="00E553CC" w:rsidP="00486AE9">
            <w:pPr>
              <w:rPr>
                <w:rFonts w:ascii="Open Sans" w:hAnsi="Open Sans" w:cs="Open Sans"/>
                <w:color w:val="000000" w:themeColor="text1"/>
              </w:rPr>
            </w:pPr>
            <w:r w:rsidRPr="00E553CC">
              <w:rPr>
                <w:rFonts w:ascii="Open Sans" w:hAnsi="Open Sans" w:cs="Open Sans"/>
                <w:color w:val="000000" w:themeColor="text1"/>
              </w:rPr>
              <w:t xml:space="preserve">2) Provides, manages, controls, or substantially influences any technology or service that enables or facilitates the access, exchange, or use of electronic health information between or among two or more unaffiliated individuals or entities. </w:t>
            </w:r>
          </w:p>
        </w:tc>
        <w:tc>
          <w:tcPr>
            <w:tcW w:w="4140" w:type="dxa"/>
          </w:tcPr>
          <w:p w14:paraId="52D5E486" w14:textId="1B17F493" w:rsidR="00E553CC" w:rsidRPr="00292EC6" w:rsidRDefault="00E553CC"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The definition of who could be a HIN or QHIN is vague – unclear on if an IIS or local health department would/could/should qualify? Also unclear how many QHINs ONC envisions operating at one time.</w:t>
            </w:r>
          </w:p>
        </w:tc>
      </w:tr>
      <w:tr w:rsidR="00F33FF1" w14:paraId="5FAF3D5F" w14:textId="77777777" w:rsidTr="00EA7D20">
        <w:trPr>
          <w:cantSplit/>
        </w:trPr>
        <w:tc>
          <w:tcPr>
            <w:tcW w:w="1345" w:type="dxa"/>
          </w:tcPr>
          <w:p w14:paraId="1294DFD3" w14:textId="08E7D548" w:rsidR="00F33FF1" w:rsidRPr="00292EC6" w:rsidRDefault="00F33FF1" w:rsidP="00EA7D20">
            <w:pPr>
              <w:rPr>
                <w:rFonts w:ascii="Open Sans" w:hAnsi="Open Sans" w:cs="Open Sans"/>
                <w:color w:val="000000" w:themeColor="text1"/>
              </w:rPr>
            </w:pPr>
            <w:r w:rsidRPr="00292EC6">
              <w:rPr>
                <w:rFonts w:ascii="Open Sans" w:hAnsi="Open Sans" w:cs="Open Sans"/>
                <w:color w:val="000000" w:themeColor="text1"/>
              </w:rPr>
              <w:lastRenderedPageBreak/>
              <w:t>Page 35</w:t>
            </w:r>
          </w:p>
        </w:tc>
        <w:tc>
          <w:tcPr>
            <w:tcW w:w="4050" w:type="dxa"/>
          </w:tcPr>
          <w:p w14:paraId="745B5367" w14:textId="02574973" w:rsidR="00F33FF1" w:rsidRPr="00292EC6" w:rsidRDefault="00F33FF1" w:rsidP="00E553CC">
            <w:pPr>
              <w:rPr>
                <w:rFonts w:ascii="Open Sans" w:hAnsi="Open Sans" w:cs="Open Sans"/>
                <w:color w:val="000000" w:themeColor="text1"/>
              </w:rPr>
            </w:pPr>
            <w:r w:rsidRPr="00292EC6">
              <w:rPr>
                <w:rFonts w:ascii="Open Sans" w:hAnsi="Open Sans" w:cs="Open Sans"/>
                <w:color w:val="000000" w:themeColor="text1"/>
              </w:rPr>
              <w:t>Meaningful Choice: an Individual’s choice with respect to the Use or Disclosure of EHI in the context of the applicable Framework Agreement that is: (i) made with advance knowledge as provided by the written privacy summary described in Sections 6.1.5, 7.6, or 8.6, as applicable; (ii) not used as a condition for receiving medical treatment or for discriminatory purposes; and (iii) revocable on a prospective basis if an Individual gives written notice to a QHIN, Participant, or Participant Member.</w:t>
            </w:r>
          </w:p>
        </w:tc>
        <w:tc>
          <w:tcPr>
            <w:tcW w:w="4140" w:type="dxa"/>
          </w:tcPr>
          <w:p w14:paraId="6E9B87A2" w14:textId="4F35C57E" w:rsidR="00F33FF1" w:rsidRPr="00292EC6" w:rsidRDefault="00F33FF1"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Despite this definition, it is still unclear how consent is registered via manual o</w:t>
            </w:r>
            <w:r w:rsidR="00F14B0F" w:rsidRPr="00292EC6">
              <w:rPr>
                <w:rFonts w:ascii="Open Sans" w:hAnsi="Open Sans" w:cs="Open Sans"/>
                <w:color w:val="000000" w:themeColor="text1"/>
              </w:rPr>
              <w:t xml:space="preserve">r </w:t>
            </w:r>
            <w:r w:rsidRPr="00292EC6">
              <w:rPr>
                <w:rFonts w:ascii="Open Sans" w:hAnsi="Open Sans" w:cs="Open Sans"/>
                <w:color w:val="000000" w:themeColor="text1"/>
              </w:rPr>
              <w:t>automated data feeds, where consent is maintained, how consent is updated over time</w:t>
            </w:r>
            <w:r w:rsidR="00F14B0F" w:rsidRPr="00292EC6">
              <w:rPr>
                <w:rFonts w:ascii="Open Sans" w:hAnsi="Open Sans" w:cs="Open Sans"/>
                <w:color w:val="000000" w:themeColor="text1"/>
              </w:rPr>
              <w:t xml:space="preserve">, and how consumer/patient consent interacts with reporting mandates and opt-in/opt-out provisions for participation. We recommend more consideration and description on these concepts. </w:t>
            </w:r>
          </w:p>
        </w:tc>
      </w:tr>
      <w:tr w:rsidR="00FF577E" w14:paraId="36D720E3" w14:textId="77777777" w:rsidTr="00EA7D20">
        <w:trPr>
          <w:cantSplit/>
        </w:trPr>
        <w:tc>
          <w:tcPr>
            <w:tcW w:w="1345" w:type="dxa"/>
          </w:tcPr>
          <w:p w14:paraId="23F60CF5" w14:textId="2D9A1EEE" w:rsidR="00FF577E" w:rsidRPr="00292EC6" w:rsidRDefault="00717472" w:rsidP="00EA7D20">
            <w:pPr>
              <w:rPr>
                <w:rFonts w:ascii="Open Sans" w:hAnsi="Open Sans" w:cs="Open Sans"/>
                <w:color w:val="000000" w:themeColor="text1"/>
              </w:rPr>
            </w:pPr>
            <w:r w:rsidRPr="00292EC6">
              <w:rPr>
                <w:rFonts w:ascii="Open Sans" w:hAnsi="Open Sans" w:cs="Open Sans"/>
                <w:color w:val="000000" w:themeColor="text1"/>
              </w:rPr>
              <w:t>Page 46</w:t>
            </w:r>
          </w:p>
        </w:tc>
        <w:tc>
          <w:tcPr>
            <w:tcW w:w="4050" w:type="dxa"/>
          </w:tcPr>
          <w:p w14:paraId="315BE713" w14:textId="5B1F9FA6" w:rsidR="00FF577E" w:rsidRPr="00140151" w:rsidRDefault="00717472" w:rsidP="00EA7D20">
            <w:pPr>
              <w:rPr>
                <w:rFonts w:ascii="Open Sans" w:hAnsi="Open Sans" w:cs="Open Sans"/>
                <w:color w:val="000000" w:themeColor="text1"/>
              </w:rPr>
            </w:pPr>
            <w:r w:rsidRPr="00717472">
              <w:rPr>
                <w:rFonts w:ascii="Open Sans" w:hAnsi="Open Sans" w:cs="Open Sans"/>
                <w:color w:val="000000" w:themeColor="text1"/>
              </w:rPr>
              <w:t xml:space="preserve">2.2.12 Termination of Participation in the Common Agreement. In the event that a QHIN’s Common Agreement is terminated due to a material breach of its terms by the QHIN without cure, then the QHIN shall, to the extent required by the Common Agreement, return or destroy all EHI received from, created by, or received by the QHIN that the QHIN still maintains in any form and retain no copies of such EHI except as provided below. </w:t>
            </w:r>
          </w:p>
        </w:tc>
        <w:tc>
          <w:tcPr>
            <w:tcW w:w="4140" w:type="dxa"/>
          </w:tcPr>
          <w:p w14:paraId="2DBC961A" w14:textId="156393B0" w:rsidR="00FF577E" w:rsidRPr="00292EC6" w:rsidRDefault="00717472" w:rsidP="00EA7D20">
            <w:pPr>
              <w:autoSpaceDE w:val="0"/>
              <w:autoSpaceDN w:val="0"/>
              <w:adjustRightInd w:val="0"/>
              <w:rPr>
                <w:rFonts w:ascii="Open Sans" w:hAnsi="Open Sans" w:cs="Open Sans"/>
                <w:color w:val="000000" w:themeColor="text1"/>
              </w:rPr>
            </w:pPr>
            <w:r w:rsidRPr="00717472">
              <w:rPr>
                <w:rFonts w:ascii="Open Sans" w:hAnsi="Open Sans" w:cs="Open Sans"/>
                <w:color w:val="000000" w:themeColor="text1"/>
              </w:rPr>
              <w:t>The document outlines requirements upon the termination of a QHIN from the Common Agreement, but there is no mention of the QHIN’s relationship to Participants and Individual Users in this case. Are the Participants and Individual Users released from any obligations to the QHIN? If the Participants or Individual Users were required to pay any upfront fees for joining the QHIN, are those fee</w:t>
            </w:r>
            <w:r w:rsidRPr="00292EC6">
              <w:rPr>
                <w:rFonts w:ascii="Open Sans" w:hAnsi="Open Sans" w:cs="Open Sans"/>
                <w:color w:val="000000" w:themeColor="text1"/>
              </w:rPr>
              <w:t>s</w:t>
            </w:r>
            <w:r w:rsidRPr="00717472">
              <w:rPr>
                <w:rFonts w:ascii="Open Sans" w:hAnsi="Open Sans" w:cs="Open Sans"/>
                <w:color w:val="000000" w:themeColor="text1"/>
              </w:rPr>
              <w:t xml:space="preserve"> refunded? Clarification might be helpful.</w:t>
            </w:r>
          </w:p>
        </w:tc>
      </w:tr>
      <w:tr w:rsidR="00FF577E" w14:paraId="553C9D30" w14:textId="77777777" w:rsidTr="00EA7D20">
        <w:trPr>
          <w:cantSplit/>
        </w:trPr>
        <w:tc>
          <w:tcPr>
            <w:tcW w:w="1345" w:type="dxa"/>
          </w:tcPr>
          <w:p w14:paraId="76157C34" w14:textId="425559FD" w:rsidR="00FF577E" w:rsidRPr="00292EC6" w:rsidRDefault="0093699F" w:rsidP="00EA7D20">
            <w:pPr>
              <w:rPr>
                <w:rFonts w:ascii="Open Sans" w:hAnsi="Open Sans" w:cs="Open Sans"/>
                <w:color w:val="000000" w:themeColor="text1"/>
              </w:rPr>
            </w:pPr>
            <w:r w:rsidRPr="00292EC6">
              <w:rPr>
                <w:rFonts w:ascii="Open Sans" w:hAnsi="Open Sans" w:cs="Open Sans"/>
                <w:color w:val="000000" w:themeColor="text1"/>
              </w:rPr>
              <w:lastRenderedPageBreak/>
              <w:t>Page 48</w:t>
            </w:r>
          </w:p>
        </w:tc>
        <w:tc>
          <w:tcPr>
            <w:tcW w:w="4050" w:type="dxa"/>
          </w:tcPr>
          <w:p w14:paraId="6C5AFFAD" w14:textId="77777777" w:rsidR="0093699F" w:rsidRPr="0093699F" w:rsidRDefault="0093699F" w:rsidP="0093699F">
            <w:pPr>
              <w:rPr>
                <w:rFonts w:ascii="Open Sans" w:hAnsi="Open Sans" w:cs="Open Sans"/>
                <w:color w:val="000000" w:themeColor="text1"/>
              </w:rPr>
            </w:pPr>
            <w:r w:rsidRPr="0093699F">
              <w:rPr>
                <w:rFonts w:ascii="Open Sans" w:hAnsi="Open Sans" w:cs="Open Sans"/>
                <w:color w:val="000000" w:themeColor="text1"/>
              </w:rPr>
              <w:t xml:space="preserve">5.2.1: Reasonable and Non-Discriminatory Fees. A QHIN must use reasonable and non-discriminatory criteria and methods in creating and applying pricing models if it charges any Fees or imposes any other costs or expenses on another QHIN. Nothing in these terms and conditions requires any QHIN to charge or pay any amounts to another QHIN. </w:t>
            </w:r>
          </w:p>
          <w:p w14:paraId="314ACBA1" w14:textId="77777777" w:rsidR="00FF577E" w:rsidRPr="00292EC6" w:rsidRDefault="00FF577E" w:rsidP="00EA7D20">
            <w:pPr>
              <w:rPr>
                <w:rFonts w:ascii="Open Sans" w:hAnsi="Open Sans" w:cs="Open Sans"/>
                <w:color w:val="000000" w:themeColor="text1"/>
              </w:rPr>
            </w:pPr>
          </w:p>
        </w:tc>
        <w:tc>
          <w:tcPr>
            <w:tcW w:w="4140" w:type="dxa"/>
          </w:tcPr>
          <w:p w14:paraId="1D72B954" w14:textId="630EF546" w:rsidR="00FF577E" w:rsidRPr="00292EC6" w:rsidRDefault="0093699F"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 xml:space="preserve">This section seems to contain two contradictory statements. The first sentence (A QHIN must use reasonable and non-discriminatory criteria and methods in creating and applying pricing models if it charges any </w:t>
            </w:r>
            <w:r w:rsidR="00C41955">
              <w:rPr>
                <w:rFonts w:ascii="Open Sans" w:hAnsi="Open Sans" w:cs="Open Sans"/>
                <w:color w:val="000000" w:themeColor="text1"/>
              </w:rPr>
              <w:t>F</w:t>
            </w:r>
            <w:r w:rsidRPr="00292EC6">
              <w:rPr>
                <w:rFonts w:ascii="Open Sans" w:hAnsi="Open Sans" w:cs="Open Sans"/>
                <w:color w:val="000000" w:themeColor="text1"/>
              </w:rPr>
              <w:t>ees or imposes any other costs or expenses on another QHIN.) implies that a QHIN may impose a fee on another QHIN. Yet the second sentence (Nothing in these terms and conditions requires any QHIN to charge or pay any amounts to another QHIN.) seems to say that no QHIN is obligated to pay such a fee. Please clarify this meaning of this section.</w:t>
            </w:r>
          </w:p>
        </w:tc>
      </w:tr>
      <w:tr w:rsidR="00FF577E" w14:paraId="6A6E8723" w14:textId="77777777" w:rsidTr="00EA7D20">
        <w:trPr>
          <w:cantSplit/>
        </w:trPr>
        <w:tc>
          <w:tcPr>
            <w:tcW w:w="1345" w:type="dxa"/>
          </w:tcPr>
          <w:p w14:paraId="4FF01DA3" w14:textId="5C3E1203" w:rsidR="00FF577E" w:rsidRPr="00292EC6" w:rsidRDefault="00486AE9" w:rsidP="00EA7D20">
            <w:pPr>
              <w:rPr>
                <w:rFonts w:ascii="Open Sans" w:hAnsi="Open Sans" w:cs="Open Sans"/>
                <w:color w:val="000000" w:themeColor="text1"/>
              </w:rPr>
            </w:pPr>
            <w:r w:rsidRPr="00292EC6">
              <w:rPr>
                <w:rFonts w:ascii="Open Sans" w:hAnsi="Open Sans" w:cs="Open Sans"/>
                <w:color w:val="000000" w:themeColor="text1"/>
              </w:rPr>
              <w:t>Page 70</w:t>
            </w:r>
          </w:p>
        </w:tc>
        <w:tc>
          <w:tcPr>
            <w:tcW w:w="4050" w:type="dxa"/>
          </w:tcPr>
          <w:p w14:paraId="49ADDB85" w14:textId="5445F0B4" w:rsidR="00FF577E" w:rsidRPr="00140151" w:rsidRDefault="00486AE9" w:rsidP="00EA7D20">
            <w:pPr>
              <w:rPr>
                <w:rFonts w:ascii="Open Sans" w:hAnsi="Open Sans" w:cs="Open Sans"/>
                <w:color w:val="000000" w:themeColor="text1"/>
              </w:rPr>
            </w:pPr>
            <w:r w:rsidRPr="00292EC6">
              <w:rPr>
                <w:rFonts w:ascii="Open Sans" w:hAnsi="Open Sans" w:cs="Open Sans"/>
                <w:color w:val="000000" w:themeColor="text1"/>
              </w:rPr>
              <w:t>The QTF specifies the technical underpinnings for QHIN-to-QHIN exchange and other responsibilities described in the Common Agreement.</w:t>
            </w:r>
          </w:p>
        </w:tc>
        <w:tc>
          <w:tcPr>
            <w:tcW w:w="4140" w:type="dxa"/>
          </w:tcPr>
          <w:p w14:paraId="2DCB46F9" w14:textId="5630C451" w:rsidR="00FF577E" w:rsidRPr="00292EC6" w:rsidRDefault="00486AE9"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Most of the standards (both content and transport) in the document are QHIN to QHIN requirements. TEFCA doesn’t appear to be explicit regarding QHIN-to-Participant or Participant-to-Participant Member. It’s unclear what the vision is for those exchanges. Are they going to remain using their tried-and-true methods or will they be required to transition to QHIN preferred standards? This would be a considerable lift for IIS (which would require significant funding and time to implement).</w:t>
            </w:r>
          </w:p>
        </w:tc>
      </w:tr>
      <w:tr w:rsidR="00FF577E" w14:paraId="6584913E" w14:textId="77777777" w:rsidTr="00EA7D20">
        <w:trPr>
          <w:cantSplit/>
        </w:trPr>
        <w:tc>
          <w:tcPr>
            <w:tcW w:w="1345" w:type="dxa"/>
          </w:tcPr>
          <w:p w14:paraId="2D432AE6" w14:textId="5D31E071" w:rsidR="00FF577E" w:rsidRPr="00292EC6" w:rsidRDefault="00A21E08" w:rsidP="00EA7D20">
            <w:pPr>
              <w:rPr>
                <w:rFonts w:ascii="Open Sans" w:hAnsi="Open Sans" w:cs="Open Sans"/>
                <w:color w:val="000000" w:themeColor="text1"/>
              </w:rPr>
            </w:pPr>
            <w:r w:rsidRPr="00292EC6">
              <w:rPr>
                <w:rFonts w:ascii="Open Sans" w:hAnsi="Open Sans" w:cs="Open Sans"/>
                <w:color w:val="000000" w:themeColor="text1"/>
              </w:rPr>
              <w:lastRenderedPageBreak/>
              <w:t>Page 72</w:t>
            </w:r>
          </w:p>
        </w:tc>
        <w:tc>
          <w:tcPr>
            <w:tcW w:w="4050" w:type="dxa"/>
          </w:tcPr>
          <w:p w14:paraId="04D18396" w14:textId="554944D8" w:rsidR="00FF577E" w:rsidRPr="00140151" w:rsidRDefault="00A21E08" w:rsidP="00EA7D20">
            <w:pPr>
              <w:rPr>
                <w:rFonts w:ascii="Open Sans" w:hAnsi="Open Sans" w:cs="Open Sans"/>
                <w:color w:val="000000" w:themeColor="text1"/>
              </w:rPr>
            </w:pPr>
            <w:r w:rsidRPr="00A21E08">
              <w:rPr>
                <w:rFonts w:ascii="Open Sans" w:hAnsi="Open Sans" w:cs="Open Sans"/>
                <w:color w:val="000000" w:themeColor="text1"/>
              </w:rPr>
              <w:t>A QHIN Query typically involves two major workflows, patient discovery via IHE XCPD and document location/retrieval via IHE XCA.</w:t>
            </w:r>
          </w:p>
        </w:tc>
        <w:tc>
          <w:tcPr>
            <w:tcW w:w="4140" w:type="dxa"/>
          </w:tcPr>
          <w:p w14:paraId="74B1D6A6" w14:textId="071AF53B" w:rsidR="00FF577E" w:rsidRPr="00292EC6" w:rsidRDefault="00A21E08" w:rsidP="00EA7D20">
            <w:pPr>
              <w:autoSpaceDE w:val="0"/>
              <w:autoSpaceDN w:val="0"/>
              <w:adjustRightInd w:val="0"/>
              <w:rPr>
                <w:rFonts w:ascii="Open Sans" w:hAnsi="Open Sans" w:cs="Open Sans"/>
                <w:color w:val="000000" w:themeColor="text1"/>
              </w:rPr>
            </w:pPr>
            <w:r w:rsidRPr="00A21E08">
              <w:rPr>
                <w:rFonts w:ascii="Open Sans" w:hAnsi="Open Sans" w:cs="Open Sans"/>
                <w:color w:val="000000" w:themeColor="text1"/>
              </w:rPr>
              <w:t>These sections outline the adoption of IHE profiles but not FHIR or other existing standards</w:t>
            </w:r>
            <w:r w:rsidRPr="00292EC6">
              <w:rPr>
                <w:rFonts w:ascii="Open Sans" w:hAnsi="Open Sans" w:cs="Open Sans"/>
                <w:color w:val="000000" w:themeColor="text1"/>
              </w:rPr>
              <w:t xml:space="preserve">. </w:t>
            </w:r>
            <w:r w:rsidRPr="00A21E08">
              <w:rPr>
                <w:rFonts w:ascii="Open Sans" w:hAnsi="Open Sans" w:cs="Open Sans"/>
                <w:color w:val="000000" w:themeColor="text1"/>
              </w:rPr>
              <w:t>Many existing data exchanges in Public Health use standards other than IHE profiles. If the emphasis is to be on “existing, deployed technical infrastructure” th</w:t>
            </w:r>
            <w:r w:rsidR="00C41955">
              <w:rPr>
                <w:rFonts w:ascii="Open Sans" w:hAnsi="Open Sans" w:cs="Open Sans"/>
                <w:color w:val="000000" w:themeColor="text1"/>
              </w:rPr>
              <w:t>e</w:t>
            </w:r>
            <w:r w:rsidRPr="00A21E08">
              <w:rPr>
                <w:rFonts w:ascii="Open Sans" w:hAnsi="Open Sans" w:cs="Open Sans"/>
                <w:color w:val="000000" w:themeColor="text1"/>
              </w:rPr>
              <w:t>n the adoption of existing HL7 v2, CDA and FHIR standards should be required. As well, given the focus of the ONC and CMS proposed rules on FHIR, adoption of FHIR within TEFCA should be a priority.</w:t>
            </w:r>
          </w:p>
        </w:tc>
      </w:tr>
      <w:tr w:rsidR="00E553CC" w14:paraId="0A53C118" w14:textId="77777777" w:rsidTr="00EA7D20">
        <w:trPr>
          <w:cantSplit/>
        </w:trPr>
        <w:tc>
          <w:tcPr>
            <w:tcW w:w="1345" w:type="dxa"/>
          </w:tcPr>
          <w:p w14:paraId="485BFC8B" w14:textId="0B67B33B" w:rsidR="00E553CC" w:rsidRPr="00292EC6" w:rsidRDefault="00E553CC" w:rsidP="00EA7D20">
            <w:pPr>
              <w:rPr>
                <w:rFonts w:ascii="Open Sans" w:hAnsi="Open Sans" w:cs="Open Sans"/>
                <w:color w:val="000000" w:themeColor="text1"/>
              </w:rPr>
            </w:pPr>
            <w:r w:rsidRPr="00292EC6">
              <w:rPr>
                <w:rFonts w:ascii="Open Sans" w:hAnsi="Open Sans" w:cs="Open Sans"/>
                <w:color w:val="000000" w:themeColor="text1"/>
              </w:rPr>
              <w:t>Page 82</w:t>
            </w:r>
          </w:p>
        </w:tc>
        <w:tc>
          <w:tcPr>
            <w:tcW w:w="4050" w:type="dxa"/>
          </w:tcPr>
          <w:p w14:paraId="2A28590C" w14:textId="66C10172" w:rsidR="00E553CC" w:rsidRPr="00292EC6" w:rsidRDefault="00E553CC" w:rsidP="00E553CC">
            <w:pPr>
              <w:pStyle w:val="Default"/>
              <w:rPr>
                <w:rFonts w:ascii="Open Sans" w:eastAsiaTheme="minorEastAsia" w:hAnsi="Open Sans" w:cs="Open Sans"/>
                <w:color w:val="000000" w:themeColor="text1"/>
                <w:sz w:val="21"/>
                <w:szCs w:val="21"/>
              </w:rPr>
            </w:pPr>
            <w:r w:rsidRPr="00292EC6">
              <w:rPr>
                <w:rFonts w:ascii="Open Sans" w:eastAsiaTheme="minorEastAsia" w:hAnsi="Open Sans" w:cs="Open Sans"/>
                <w:color w:val="000000" w:themeColor="text1"/>
                <w:sz w:val="21"/>
                <w:szCs w:val="21"/>
              </w:rPr>
              <w:t xml:space="preserve">QHINs MUST be capable of sending and receiving message delivery acknowledgements to and from QHINs and </w:t>
            </w:r>
            <w:proofErr w:type="gramStart"/>
            <w:r w:rsidRPr="00292EC6">
              <w:rPr>
                <w:rFonts w:ascii="Open Sans" w:eastAsiaTheme="minorEastAsia" w:hAnsi="Open Sans" w:cs="Open Sans"/>
                <w:color w:val="000000" w:themeColor="text1"/>
                <w:sz w:val="21"/>
                <w:szCs w:val="21"/>
              </w:rPr>
              <w:t>First Degree</w:t>
            </w:r>
            <w:proofErr w:type="gramEnd"/>
            <w:r w:rsidRPr="00292EC6">
              <w:rPr>
                <w:rFonts w:ascii="Open Sans" w:eastAsiaTheme="minorEastAsia" w:hAnsi="Open Sans" w:cs="Open Sans"/>
                <w:color w:val="000000" w:themeColor="text1"/>
                <w:sz w:val="21"/>
                <w:szCs w:val="21"/>
              </w:rPr>
              <w:t xml:space="preserve"> Entities.</w:t>
            </w:r>
          </w:p>
          <w:p w14:paraId="0BF444D4" w14:textId="77777777" w:rsidR="00E553CC" w:rsidRPr="00292EC6" w:rsidRDefault="00E553CC" w:rsidP="00EA7D20">
            <w:pPr>
              <w:autoSpaceDE w:val="0"/>
              <w:autoSpaceDN w:val="0"/>
              <w:adjustRightInd w:val="0"/>
              <w:rPr>
                <w:rFonts w:ascii="Open Sans" w:hAnsi="Open Sans" w:cs="Open Sans"/>
                <w:color w:val="000000" w:themeColor="text1"/>
              </w:rPr>
            </w:pPr>
          </w:p>
        </w:tc>
        <w:tc>
          <w:tcPr>
            <w:tcW w:w="4140" w:type="dxa"/>
          </w:tcPr>
          <w:p w14:paraId="350134CF" w14:textId="234E8F61" w:rsidR="00E553CC" w:rsidRPr="00292EC6" w:rsidRDefault="00E553CC"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We appreciate that acknowledgment messaging is called out in the actual TEFCA document, but it does not appear in the user guide. We want to ensure that a response to a submitted message is always required.</w:t>
            </w:r>
          </w:p>
        </w:tc>
      </w:tr>
      <w:tr w:rsidR="00E553CC" w14:paraId="3A8D3853" w14:textId="77777777" w:rsidTr="00EA7D20">
        <w:trPr>
          <w:cantSplit/>
        </w:trPr>
        <w:tc>
          <w:tcPr>
            <w:tcW w:w="1345" w:type="dxa"/>
          </w:tcPr>
          <w:p w14:paraId="65F3E83D" w14:textId="1B2DC62A" w:rsidR="00E553CC" w:rsidRPr="00292EC6" w:rsidRDefault="00E553CC" w:rsidP="00EA7D20">
            <w:pPr>
              <w:rPr>
                <w:rFonts w:ascii="Open Sans" w:hAnsi="Open Sans" w:cs="Open Sans"/>
                <w:color w:val="000000" w:themeColor="text1"/>
              </w:rPr>
            </w:pPr>
            <w:r w:rsidRPr="00292EC6">
              <w:rPr>
                <w:rFonts w:ascii="Open Sans" w:hAnsi="Open Sans" w:cs="Open Sans"/>
                <w:color w:val="000000" w:themeColor="text1"/>
              </w:rPr>
              <w:lastRenderedPageBreak/>
              <w:t>Page 82</w:t>
            </w:r>
          </w:p>
        </w:tc>
        <w:tc>
          <w:tcPr>
            <w:tcW w:w="4050" w:type="dxa"/>
          </w:tcPr>
          <w:p w14:paraId="3503A0D2" w14:textId="126F56DB" w:rsidR="00E553CC" w:rsidRPr="00E553CC" w:rsidRDefault="00E553CC" w:rsidP="00E553CC">
            <w:pPr>
              <w:autoSpaceDE w:val="0"/>
              <w:autoSpaceDN w:val="0"/>
              <w:adjustRightInd w:val="0"/>
              <w:rPr>
                <w:rFonts w:ascii="Open Sans" w:hAnsi="Open Sans" w:cs="Open Sans"/>
                <w:color w:val="000000" w:themeColor="text1"/>
              </w:rPr>
            </w:pPr>
            <w:r w:rsidRPr="00E553CC">
              <w:rPr>
                <w:rFonts w:ascii="Open Sans" w:hAnsi="Open Sans" w:cs="Open Sans"/>
                <w:color w:val="000000" w:themeColor="text1"/>
              </w:rPr>
              <w:t xml:space="preserve">Specified standards for Message Delivery are included in Table 8… </w:t>
            </w:r>
          </w:p>
          <w:p w14:paraId="673D5F65" w14:textId="68086383" w:rsidR="00E553CC" w:rsidRPr="00292EC6" w:rsidRDefault="00E553CC" w:rsidP="00E553CC">
            <w:pPr>
              <w:numPr>
                <w:ilvl w:val="0"/>
                <w:numId w:val="26"/>
              </w:numPr>
              <w:autoSpaceDE w:val="0"/>
              <w:autoSpaceDN w:val="0"/>
              <w:adjustRightInd w:val="0"/>
              <w:rPr>
                <w:rFonts w:ascii="Open Sans" w:hAnsi="Open Sans" w:cs="Open Sans"/>
                <w:color w:val="000000" w:themeColor="text1"/>
              </w:rPr>
            </w:pPr>
            <w:r w:rsidRPr="00E553CC">
              <w:rPr>
                <w:rFonts w:ascii="Open Sans" w:hAnsi="Open Sans" w:cs="Open Sans"/>
                <w:color w:val="000000" w:themeColor="text1"/>
              </w:rPr>
              <w:t xml:space="preserve">Responding QHIN(s) MUST be capable of processing XCDR transactions to send documents and associated metadata to the appropriate </w:t>
            </w:r>
            <w:proofErr w:type="gramStart"/>
            <w:r w:rsidRPr="00E553CC">
              <w:rPr>
                <w:rFonts w:ascii="Open Sans" w:hAnsi="Open Sans" w:cs="Open Sans"/>
                <w:color w:val="000000" w:themeColor="text1"/>
              </w:rPr>
              <w:t>First Degree</w:t>
            </w:r>
            <w:proofErr w:type="gramEnd"/>
            <w:r w:rsidRPr="00E553CC">
              <w:rPr>
                <w:rFonts w:ascii="Open Sans" w:hAnsi="Open Sans" w:cs="Open Sans"/>
                <w:color w:val="000000" w:themeColor="text1"/>
              </w:rPr>
              <w:t xml:space="preserve"> Entity(</w:t>
            </w:r>
            <w:proofErr w:type="spellStart"/>
            <w:r w:rsidRPr="00E553CC">
              <w:rPr>
                <w:rFonts w:ascii="Open Sans" w:hAnsi="Open Sans" w:cs="Open Sans"/>
                <w:color w:val="000000" w:themeColor="text1"/>
              </w:rPr>
              <w:t>ies</w:t>
            </w:r>
            <w:proofErr w:type="spellEnd"/>
            <w:r w:rsidRPr="00E553CC">
              <w:rPr>
                <w:rFonts w:ascii="Open Sans" w:hAnsi="Open Sans" w:cs="Open Sans"/>
                <w:color w:val="000000" w:themeColor="text1"/>
              </w:rPr>
              <w:t xml:space="preserve">) </w:t>
            </w:r>
          </w:p>
          <w:p w14:paraId="24DE7427" w14:textId="66DCE884" w:rsidR="00E553CC" w:rsidRPr="00292EC6" w:rsidRDefault="005649F4" w:rsidP="005649F4">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Table 8. Specified and Alternative Standards for Message Delivery:</w:t>
            </w:r>
          </w:p>
          <w:p w14:paraId="59215DAD" w14:textId="3E83B215" w:rsidR="00E553CC" w:rsidRPr="00292EC6" w:rsidRDefault="005649F4"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Specified Standard/Profile: IEH XCDR</w:t>
            </w:r>
          </w:p>
        </w:tc>
        <w:tc>
          <w:tcPr>
            <w:tcW w:w="4140" w:type="dxa"/>
          </w:tcPr>
          <w:p w14:paraId="701396CD" w14:textId="2A4F01DF" w:rsidR="00E553CC" w:rsidRPr="00292EC6" w:rsidRDefault="00E553CC"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The standards referenced are IHE XCDR profile to get the data from QHIN A to QHIN B, but it doesn’t define the standards on the far left and far right of the swim lane. It does use the word</w:t>
            </w:r>
            <w:r w:rsidR="00C41955">
              <w:rPr>
                <w:rFonts w:ascii="Open Sans" w:hAnsi="Open Sans" w:cs="Open Sans"/>
                <w:color w:val="000000" w:themeColor="text1"/>
              </w:rPr>
              <w:t>s</w:t>
            </w:r>
            <w:r w:rsidRPr="00292EC6">
              <w:rPr>
                <w:rFonts w:ascii="Open Sans" w:hAnsi="Open Sans" w:cs="Open Sans"/>
                <w:color w:val="000000" w:themeColor="text1"/>
              </w:rPr>
              <w:t xml:space="preserve"> “document and associated metadata”, which is concerning. We would prefer this to be message (and not document).  Messages = V2. Documents = V3 and/or CDA. At minimum it should include both messages and documents.</w:t>
            </w:r>
          </w:p>
        </w:tc>
      </w:tr>
      <w:tr w:rsidR="005649F4" w14:paraId="7F104B27" w14:textId="77777777" w:rsidTr="00EA7D20">
        <w:trPr>
          <w:cantSplit/>
        </w:trPr>
        <w:tc>
          <w:tcPr>
            <w:tcW w:w="1345" w:type="dxa"/>
          </w:tcPr>
          <w:p w14:paraId="1603AE8E" w14:textId="614AE60B" w:rsidR="005649F4" w:rsidRPr="00292EC6" w:rsidRDefault="005649F4" w:rsidP="00EA7D20">
            <w:pPr>
              <w:rPr>
                <w:rFonts w:ascii="Open Sans" w:hAnsi="Open Sans" w:cs="Open Sans"/>
                <w:color w:val="000000" w:themeColor="text1"/>
              </w:rPr>
            </w:pPr>
            <w:r w:rsidRPr="00292EC6">
              <w:rPr>
                <w:rFonts w:ascii="Open Sans" w:hAnsi="Open Sans" w:cs="Open Sans"/>
                <w:color w:val="000000" w:themeColor="text1"/>
              </w:rPr>
              <w:t>Page 82</w:t>
            </w:r>
          </w:p>
        </w:tc>
        <w:tc>
          <w:tcPr>
            <w:tcW w:w="4050" w:type="dxa"/>
          </w:tcPr>
          <w:p w14:paraId="264C3350" w14:textId="27DD1612" w:rsidR="005649F4" w:rsidRPr="00292EC6" w:rsidRDefault="005649F4"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 xml:space="preserve">Initiating QHINs MUST be capable of receiving Message Delivery Solicitations from a </w:t>
            </w:r>
            <w:proofErr w:type="gramStart"/>
            <w:r w:rsidRPr="00292EC6">
              <w:rPr>
                <w:rFonts w:ascii="Open Sans" w:hAnsi="Open Sans" w:cs="Open Sans"/>
                <w:color w:val="000000" w:themeColor="text1"/>
              </w:rPr>
              <w:t>First Degree</w:t>
            </w:r>
            <w:proofErr w:type="gramEnd"/>
            <w:r w:rsidRPr="00292EC6">
              <w:rPr>
                <w:rFonts w:ascii="Open Sans" w:hAnsi="Open Sans" w:cs="Open Sans"/>
                <w:color w:val="000000" w:themeColor="text1"/>
              </w:rPr>
              <w:t xml:space="preserve"> Entity</w:t>
            </w:r>
          </w:p>
        </w:tc>
        <w:tc>
          <w:tcPr>
            <w:tcW w:w="4140" w:type="dxa"/>
          </w:tcPr>
          <w:p w14:paraId="5459409B" w14:textId="34079B8F" w:rsidR="005649F4" w:rsidRPr="00292EC6" w:rsidRDefault="005649F4" w:rsidP="00EA7D20">
            <w:pPr>
              <w:autoSpaceDE w:val="0"/>
              <w:autoSpaceDN w:val="0"/>
              <w:adjustRightInd w:val="0"/>
              <w:rPr>
                <w:rFonts w:ascii="Open Sans" w:hAnsi="Open Sans" w:cs="Open Sans"/>
                <w:color w:val="000000" w:themeColor="text1"/>
              </w:rPr>
            </w:pPr>
            <w:r w:rsidRPr="005649F4">
              <w:rPr>
                <w:rFonts w:ascii="Open Sans" w:hAnsi="Open Sans" w:cs="Open Sans"/>
                <w:color w:val="000000" w:themeColor="text1"/>
              </w:rPr>
              <w:t>It is not clear who is responsible for consolidation, deduplication, verification, reconciliation into the new system, etc. Do these activities all happen at the smart phone app (in this example)? There are some critical policy/functional decisions and standards which need to be put in place to both reduce variation and safeguard disclosures when incorrect patient matches are made during queries.</w:t>
            </w:r>
          </w:p>
        </w:tc>
      </w:tr>
      <w:tr w:rsidR="00FF577E" w14:paraId="37CDA9EF" w14:textId="77777777" w:rsidTr="00EA7D20">
        <w:trPr>
          <w:cantSplit/>
        </w:trPr>
        <w:tc>
          <w:tcPr>
            <w:tcW w:w="1345" w:type="dxa"/>
          </w:tcPr>
          <w:p w14:paraId="7A73AEA7" w14:textId="2DAE09C8" w:rsidR="00FF577E" w:rsidRPr="00292EC6" w:rsidRDefault="000E161A" w:rsidP="00EA7D20">
            <w:pPr>
              <w:rPr>
                <w:rFonts w:ascii="Open Sans" w:hAnsi="Open Sans" w:cs="Open Sans"/>
                <w:color w:val="000000" w:themeColor="text1"/>
              </w:rPr>
            </w:pPr>
            <w:r w:rsidRPr="00292EC6">
              <w:rPr>
                <w:rFonts w:ascii="Open Sans" w:hAnsi="Open Sans" w:cs="Open Sans"/>
                <w:color w:val="000000" w:themeColor="text1"/>
              </w:rPr>
              <w:t>N/A</w:t>
            </w:r>
          </w:p>
        </w:tc>
        <w:tc>
          <w:tcPr>
            <w:tcW w:w="4050" w:type="dxa"/>
          </w:tcPr>
          <w:p w14:paraId="430045B6" w14:textId="5D53AF63" w:rsidR="00FF577E" w:rsidRPr="00140151" w:rsidRDefault="000E161A" w:rsidP="00EA7D20">
            <w:pPr>
              <w:rPr>
                <w:rFonts w:ascii="Open Sans" w:hAnsi="Open Sans" w:cs="Open Sans"/>
                <w:color w:val="000000" w:themeColor="text1"/>
              </w:rPr>
            </w:pPr>
            <w:r w:rsidRPr="000E161A">
              <w:rPr>
                <w:rFonts w:ascii="Open Sans" w:hAnsi="Open Sans" w:cs="Open Sans"/>
                <w:color w:val="000000" w:themeColor="text1"/>
              </w:rPr>
              <w:t>To help further explain the new TEFCA draft, ONC has provided a </w:t>
            </w:r>
            <w:hyperlink r:id="rId11" w:history="1">
              <w:r w:rsidRPr="000E161A">
                <w:rPr>
                  <w:color w:val="000000" w:themeColor="text1"/>
                </w:rPr>
                <w:t>User’s Guide</w:t>
              </w:r>
            </w:hyperlink>
            <w:r w:rsidRPr="000E161A">
              <w:rPr>
                <w:rFonts w:ascii="Open Sans" w:hAnsi="Open Sans" w:cs="Open Sans"/>
                <w:color w:val="000000" w:themeColor="text1"/>
              </w:rPr>
              <w:t> slide deck, plus a series of 2-page information sheets for different stakeholder groups including </w:t>
            </w:r>
            <w:hyperlink r:id="rId12" w:history="1">
              <w:r w:rsidRPr="000E161A">
                <w:rPr>
                  <w:color w:val="000000" w:themeColor="text1"/>
                </w:rPr>
                <w:t>state government and public health</w:t>
              </w:r>
            </w:hyperlink>
            <w:r w:rsidRPr="000E161A">
              <w:rPr>
                <w:rFonts w:ascii="Open Sans" w:hAnsi="Open Sans" w:cs="Open Sans"/>
                <w:color w:val="000000" w:themeColor="text1"/>
              </w:rPr>
              <w:t>.</w:t>
            </w:r>
          </w:p>
        </w:tc>
        <w:tc>
          <w:tcPr>
            <w:tcW w:w="4140" w:type="dxa"/>
          </w:tcPr>
          <w:p w14:paraId="7C7F397F" w14:textId="23D36F2B" w:rsidR="00FF577E" w:rsidRPr="00292EC6" w:rsidRDefault="000E161A" w:rsidP="00EA7D20">
            <w:pPr>
              <w:autoSpaceDE w:val="0"/>
              <w:autoSpaceDN w:val="0"/>
              <w:adjustRightInd w:val="0"/>
              <w:rPr>
                <w:rFonts w:ascii="Open Sans" w:hAnsi="Open Sans" w:cs="Open Sans"/>
                <w:color w:val="000000" w:themeColor="text1"/>
              </w:rPr>
            </w:pPr>
            <w:r w:rsidRPr="00292EC6">
              <w:rPr>
                <w:rFonts w:ascii="Open Sans" w:hAnsi="Open Sans" w:cs="Open Sans"/>
                <w:color w:val="000000" w:themeColor="text1"/>
              </w:rPr>
              <w:t>The entire TEFCA document reads well, and the supporting material from ONC is well written and useful.</w:t>
            </w:r>
          </w:p>
        </w:tc>
      </w:tr>
    </w:tbl>
    <w:p w14:paraId="05D5C533" w14:textId="2EC1F5BC" w:rsidR="00DE4F84" w:rsidRDefault="00DE4F84" w:rsidP="004A1A2D">
      <w:pPr>
        <w:spacing w:after="120" w:line="240" w:lineRule="auto"/>
      </w:pPr>
    </w:p>
    <w:sectPr w:rsidR="00DE4F84" w:rsidSect="004A1A2D">
      <w:headerReference w:type="even" r:id="rId13"/>
      <w:headerReference w:type="default" r:id="rId14"/>
      <w:footerReference w:type="even" r:id="rId15"/>
      <w:footerReference w:type="default" r:id="rId16"/>
      <w:headerReference w:type="first" r:id="rId17"/>
      <w:footerReference w:type="first" r:id="rId18"/>
      <w:pgSz w:w="12240" w:h="15840"/>
      <w:pgMar w:top="26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83E74" w14:textId="77777777" w:rsidR="00E776FC" w:rsidRDefault="00E776FC" w:rsidP="005B56F2">
      <w:pPr>
        <w:spacing w:after="0" w:line="240" w:lineRule="auto"/>
      </w:pPr>
      <w:r>
        <w:separator/>
      </w:r>
    </w:p>
  </w:endnote>
  <w:endnote w:type="continuationSeparator" w:id="0">
    <w:p w14:paraId="53FFC4ED" w14:textId="77777777" w:rsidR="00E776FC" w:rsidRDefault="00E776FC" w:rsidP="005B5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D3C09727-101C-4842-85E3-1A7B6F1CD12A}"/>
    <w:embedBold r:id="rId2" w:fontKey="{5AC934EF-161D-4C8B-87E2-1878EC58F72D}"/>
    <w:embedItalic r:id="rId3" w:fontKey="{C5A93382-39C8-45CA-95F3-143920F8D445}"/>
    <w:embedBoldItalic r:id="rId4" w:fontKey="{CF3F15AA-5F31-436F-9F69-D2DE519E591C}"/>
  </w:font>
  <w:font w:name="Open Sans Light">
    <w:panose1 w:val="020B0306030504020204"/>
    <w:charset w:val="00"/>
    <w:family w:val="swiss"/>
    <w:pitch w:val="variable"/>
    <w:sig w:usb0="E00002EF" w:usb1="4000205B" w:usb2="00000028" w:usb3="00000000" w:csb0="0000019F" w:csb1="00000000"/>
    <w:embedRegular r:id="rId5" w:fontKey="{A62FD101-F155-4E8A-AEFF-2EC065B7F07C}"/>
    <w:embedBold r:id="rId6" w:fontKey="{E3E316A4-805E-456D-A168-9CECC064CC1F}"/>
    <w:embedItalic r:id="rId7" w:fontKey="{A1FB0CAD-7D26-4547-9D9D-525F33DF6797}"/>
  </w:font>
  <w:font w:name="Calibri">
    <w:altName w:val="Calibri"/>
    <w:panose1 w:val="020F0502020204030204"/>
    <w:charset w:val="00"/>
    <w:family w:val="swiss"/>
    <w:pitch w:val="variable"/>
    <w:sig w:usb0="E0002AFF" w:usb1="4000ACFF" w:usb2="00000001" w:usb3="00000000" w:csb0="000001FF" w:csb1="00000000"/>
    <w:embedRegular r:id="rId8" w:fontKey="{2C7B5D96-128B-4035-8040-C49FBB7465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E61EE" w14:textId="77777777" w:rsidR="00FF577E" w:rsidRDefault="00FF57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05ACF" w14:textId="31114C86" w:rsidR="005B56F2" w:rsidRDefault="007758B4">
    <w:pPr>
      <w:pStyle w:val="Footer"/>
    </w:pPr>
    <w:r>
      <w:rPr>
        <w:noProof/>
      </w:rPr>
      <w:drawing>
        <wp:anchor distT="0" distB="0" distL="114300" distR="114300" simplePos="0" relativeHeight="251657728" behindDoc="1" locked="0" layoutInCell="1" allowOverlap="1" wp14:anchorId="4B9969F1" wp14:editId="4340F9F5">
          <wp:simplePos x="0" y="0"/>
          <wp:positionH relativeFrom="page">
            <wp:align>right</wp:align>
          </wp:positionH>
          <wp:positionV relativeFrom="paragraph">
            <wp:posOffset>-279400</wp:posOffset>
          </wp:positionV>
          <wp:extent cx="7772400" cy="907609"/>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RA_LH1_15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7609"/>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475CC" w14:textId="77777777" w:rsidR="00FF577E" w:rsidRDefault="00FF5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C2A12" w14:textId="77777777" w:rsidR="00E776FC" w:rsidRDefault="00E776FC" w:rsidP="005B56F2">
      <w:pPr>
        <w:spacing w:after="0" w:line="240" w:lineRule="auto"/>
      </w:pPr>
      <w:r>
        <w:separator/>
      </w:r>
    </w:p>
  </w:footnote>
  <w:footnote w:type="continuationSeparator" w:id="0">
    <w:p w14:paraId="25EF5990" w14:textId="77777777" w:rsidR="00E776FC" w:rsidRDefault="00E776FC" w:rsidP="005B56F2">
      <w:pPr>
        <w:spacing w:after="0" w:line="240" w:lineRule="auto"/>
      </w:pPr>
      <w:r>
        <w:continuationSeparator/>
      </w:r>
    </w:p>
  </w:footnote>
  <w:footnote w:id="1">
    <w:p w14:paraId="08F9F99B" w14:textId="75FA1B40" w:rsidR="004104B0" w:rsidRDefault="004104B0">
      <w:pPr>
        <w:pStyle w:val="FootnoteText"/>
      </w:pPr>
      <w:r>
        <w:rPr>
          <w:rStyle w:val="FootnoteReference"/>
        </w:rPr>
        <w:footnoteRef/>
      </w:r>
      <w:r>
        <w:t xml:space="preserve"> </w:t>
      </w:r>
      <w:r w:rsidRPr="00EF7208">
        <w:t xml:space="preserve">Groom, H. et al. (2014). Immunization Information Systems to Increase Vaccination Rates: A Community Guide Systematic Review. </w:t>
      </w:r>
      <w:r w:rsidRPr="00776363">
        <w:rPr>
          <w:i/>
        </w:rPr>
        <w:t>Journal of Public Health Management Practice, 21</w:t>
      </w:r>
      <w:r w:rsidRPr="00EF7208">
        <w:t xml:space="preserve">(3):227–248. Retrieved from </w:t>
      </w:r>
      <w:hyperlink r:id="rId1" w:history="1">
        <w:r w:rsidRPr="00332AB0">
          <w:rPr>
            <w:rStyle w:val="Hyperlink"/>
          </w:rPr>
          <w:t>https://www.thecommunityguide.org/sites/default/files/publications/vpd-jphpm-evrev-IIS.pdf</w:t>
        </w:r>
      </w:hyperlink>
    </w:p>
  </w:footnote>
  <w:footnote w:id="2">
    <w:p w14:paraId="70D34F7F" w14:textId="77777777" w:rsidR="00FF577E" w:rsidRDefault="00FF577E" w:rsidP="00FF577E">
      <w:pPr>
        <w:pStyle w:val="FootnoteText"/>
      </w:pPr>
      <w:r>
        <w:rPr>
          <w:rStyle w:val="FootnoteReference"/>
        </w:rPr>
        <w:footnoteRef/>
      </w:r>
      <w:r>
        <w:t xml:space="preserve"> </w:t>
      </w:r>
      <w:r w:rsidRPr="00CC3213">
        <w:rPr>
          <w:rFonts w:ascii="Open Sans" w:hAnsi="Open Sans" w:cs="Open Sans"/>
          <w:iCs/>
          <w:sz w:val="22"/>
          <w:szCs w:val="22"/>
        </w:rPr>
        <w:t>https://www.cdc.gov/mmwr/volumes/66/wr/mm6643a4.htm</w:t>
      </w:r>
    </w:p>
  </w:footnote>
  <w:footnote w:id="3">
    <w:p w14:paraId="759DC1C8" w14:textId="77777777" w:rsidR="00FF577E" w:rsidRDefault="00FF577E" w:rsidP="00FF577E">
      <w:pPr>
        <w:pStyle w:val="FootnoteText"/>
      </w:pPr>
      <w:r>
        <w:rPr>
          <w:rStyle w:val="FootnoteReference"/>
        </w:rPr>
        <w:footnoteRef/>
      </w:r>
      <w:r>
        <w:t xml:space="preserve"> </w:t>
      </w:r>
      <w:r w:rsidRPr="00CC3213">
        <w:rPr>
          <w:rFonts w:ascii="Open Sans" w:hAnsi="Open Sans" w:cs="Open Sans"/>
          <w:sz w:val="22"/>
          <w:szCs w:val="22"/>
        </w:rPr>
        <w:t>http://www.immregistries.org/initiatives/measurement-and-improvement-initiative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2322" w14:textId="77777777" w:rsidR="00FF577E" w:rsidRDefault="00FF57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357AF" w14:textId="6DCE0222" w:rsidR="005B56F2" w:rsidRDefault="00E776FC">
    <w:pPr>
      <w:pStyle w:val="Header"/>
    </w:pPr>
    <w:sdt>
      <w:sdtPr>
        <w:id w:val="644469805"/>
        <w:docPartObj>
          <w:docPartGallery w:val="Watermarks"/>
          <w:docPartUnique/>
        </w:docPartObj>
      </w:sdtPr>
      <w:sdtEndPr/>
      <w:sdtContent>
        <w:r>
          <w:rPr>
            <w:noProof/>
          </w:rPr>
          <w:pict w14:anchorId="4807D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B56F2">
      <w:rPr>
        <w:noProof/>
      </w:rPr>
      <w:drawing>
        <wp:anchor distT="0" distB="0" distL="114300" distR="114300" simplePos="0" relativeHeight="251656704" behindDoc="0" locked="0" layoutInCell="1" allowOverlap="1" wp14:anchorId="3EF30E72" wp14:editId="4450C2ED">
          <wp:simplePos x="0" y="0"/>
          <wp:positionH relativeFrom="margin">
            <wp:align>center</wp:align>
          </wp:positionH>
          <wp:positionV relativeFrom="paragraph">
            <wp:posOffset>-127000</wp:posOffset>
          </wp:positionV>
          <wp:extent cx="2885440" cy="106289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nsparent AIRA Logo - Blue &amp; Green (horizontal).png"/>
                  <pic:cNvPicPr/>
                </pic:nvPicPr>
                <pic:blipFill>
                  <a:blip r:embed="rId1">
                    <a:extLst>
                      <a:ext uri="{28A0092B-C50C-407E-A947-70E740481C1C}">
                        <a14:useLocalDpi xmlns:a14="http://schemas.microsoft.com/office/drawing/2010/main" val="0"/>
                      </a:ext>
                    </a:extLst>
                  </a:blip>
                  <a:stretch>
                    <a:fillRect/>
                  </a:stretch>
                </pic:blipFill>
                <pic:spPr>
                  <a:xfrm>
                    <a:off x="0" y="0"/>
                    <a:ext cx="2885440" cy="106289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C4397" w14:textId="77777777" w:rsidR="00FF577E" w:rsidRDefault="00FF57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557929"/>
    <w:multiLevelType w:val="hybridMultilevel"/>
    <w:tmpl w:val="25E282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32A857"/>
    <w:multiLevelType w:val="hybridMultilevel"/>
    <w:tmpl w:val="AC497B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491DFF"/>
    <w:multiLevelType w:val="hybridMultilevel"/>
    <w:tmpl w:val="F0DCDD2E"/>
    <w:lvl w:ilvl="0" w:tplc="BBF42EFE">
      <w:start w:val="1"/>
      <w:numFmt w:val="bullet"/>
      <w:lvlText w:val="•"/>
      <w:lvlJc w:val="left"/>
      <w:pPr>
        <w:tabs>
          <w:tab w:val="num" w:pos="720"/>
        </w:tabs>
        <w:ind w:left="720" w:hanging="360"/>
      </w:pPr>
      <w:rPr>
        <w:rFonts w:ascii="Arial" w:hAnsi="Arial" w:hint="default"/>
      </w:rPr>
    </w:lvl>
    <w:lvl w:ilvl="1" w:tplc="45BEFAD0" w:tentative="1">
      <w:start w:val="1"/>
      <w:numFmt w:val="bullet"/>
      <w:lvlText w:val="•"/>
      <w:lvlJc w:val="left"/>
      <w:pPr>
        <w:tabs>
          <w:tab w:val="num" w:pos="1440"/>
        </w:tabs>
        <w:ind w:left="1440" w:hanging="360"/>
      </w:pPr>
      <w:rPr>
        <w:rFonts w:ascii="Arial" w:hAnsi="Arial" w:hint="default"/>
      </w:rPr>
    </w:lvl>
    <w:lvl w:ilvl="2" w:tplc="9AE48206" w:tentative="1">
      <w:start w:val="1"/>
      <w:numFmt w:val="bullet"/>
      <w:lvlText w:val="•"/>
      <w:lvlJc w:val="left"/>
      <w:pPr>
        <w:tabs>
          <w:tab w:val="num" w:pos="2160"/>
        </w:tabs>
        <w:ind w:left="2160" w:hanging="360"/>
      </w:pPr>
      <w:rPr>
        <w:rFonts w:ascii="Arial" w:hAnsi="Arial" w:hint="default"/>
      </w:rPr>
    </w:lvl>
    <w:lvl w:ilvl="3" w:tplc="8488C6C6" w:tentative="1">
      <w:start w:val="1"/>
      <w:numFmt w:val="bullet"/>
      <w:lvlText w:val="•"/>
      <w:lvlJc w:val="left"/>
      <w:pPr>
        <w:tabs>
          <w:tab w:val="num" w:pos="2880"/>
        </w:tabs>
        <w:ind w:left="2880" w:hanging="360"/>
      </w:pPr>
      <w:rPr>
        <w:rFonts w:ascii="Arial" w:hAnsi="Arial" w:hint="default"/>
      </w:rPr>
    </w:lvl>
    <w:lvl w:ilvl="4" w:tplc="440CF7DC" w:tentative="1">
      <w:start w:val="1"/>
      <w:numFmt w:val="bullet"/>
      <w:lvlText w:val="•"/>
      <w:lvlJc w:val="left"/>
      <w:pPr>
        <w:tabs>
          <w:tab w:val="num" w:pos="3600"/>
        </w:tabs>
        <w:ind w:left="3600" w:hanging="360"/>
      </w:pPr>
      <w:rPr>
        <w:rFonts w:ascii="Arial" w:hAnsi="Arial" w:hint="default"/>
      </w:rPr>
    </w:lvl>
    <w:lvl w:ilvl="5" w:tplc="34AE5BA8" w:tentative="1">
      <w:start w:val="1"/>
      <w:numFmt w:val="bullet"/>
      <w:lvlText w:val="•"/>
      <w:lvlJc w:val="left"/>
      <w:pPr>
        <w:tabs>
          <w:tab w:val="num" w:pos="4320"/>
        </w:tabs>
        <w:ind w:left="4320" w:hanging="360"/>
      </w:pPr>
      <w:rPr>
        <w:rFonts w:ascii="Arial" w:hAnsi="Arial" w:hint="default"/>
      </w:rPr>
    </w:lvl>
    <w:lvl w:ilvl="6" w:tplc="A48C2E68" w:tentative="1">
      <w:start w:val="1"/>
      <w:numFmt w:val="bullet"/>
      <w:lvlText w:val="•"/>
      <w:lvlJc w:val="left"/>
      <w:pPr>
        <w:tabs>
          <w:tab w:val="num" w:pos="5040"/>
        </w:tabs>
        <w:ind w:left="5040" w:hanging="360"/>
      </w:pPr>
      <w:rPr>
        <w:rFonts w:ascii="Arial" w:hAnsi="Arial" w:hint="default"/>
      </w:rPr>
    </w:lvl>
    <w:lvl w:ilvl="7" w:tplc="A99EA556" w:tentative="1">
      <w:start w:val="1"/>
      <w:numFmt w:val="bullet"/>
      <w:lvlText w:val="•"/>
      <w:lvlJc w:val="left"/>
      <w:pPr>
        <w:tabs>
          <w:tab w:val="num" w:pos="5760"/>
        </w:tabs>
        <w:ind w:left="5760" w:hanging="360"/>
      </w:pPr>
      <w:rPr>
        <w:rFonts w:ascii="Arial" w:hAnsi="Arial" w:hint="default"/>
      </w:rPr>
    </w:lvl>
    <w:lvl w:ilvl="8" w:tplc="5614B8E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766131A"/>
    <w:multiLevelType w:val="hybridMultilevel"/>
    <w:tmpl w:val="21A4E9B6"/>
    <w:lvl w:ilvl="0" w:tplc="B29CB23E">
      <w:start w:val="1"/>
      <w:numFmt w:val="bullet"/>
      <w:lvlText w:val="•"/>
      <w:lvlJc w:val="left"/>
      <w:pPr>
        <w:tabs>
          <w:tab w:val="num" w:pos="360"/>
        </w:tabs>
        <w:ind w:left="360" w:hanging="360"/>
      </w:pPr>
      <w:rPr>
        <w:rFonts w:ascii="Arial" w:hAnsi="Arial" w:hint="default"/>
      </w:rPr>
    </w:lvl>
    <w:lvl w:ilvl="1" w:tplc="97063610">
      <w:start w:val="4098"/>
      <w:numFmt w:val="bullet"/>
      <w:lvlText w:val="•"/>
      <w:lvlJc w:val="left"/>
      <w:pPr>
        <w:tabs>
          <w:tab w:val="num" w:pos="1080"/>
        </w:tabs>
        <w:ind w:left="1080" w:hanging="360"/>
      </w:pPr>
      <w:rPr>
        <w:rFonts w:ascii="Arial" w:hAnsi="Arial" w:hint="default"/>
      </w:rPr>
    </w:lvl>
    <w:lvl w:ilvl="2" w:tplc="6B0C3A62" w:tentative="1">
      <w:start w:val="1"/>
      <w:numFmt w:val="bullet"/>
      <w:lvlText w:val="•"/>
      <w:lvlJc w:val="left"/>
      <w:pPr>
        <w:tabs>
          <w:tab w:val="num" w:pos="1800"/>
        </w:tabs>
        <w:ind w:left="1800" w:hanging="360"/>
      </w:pPr>
      <w:rPr>
        <w:rFonts w:ascii="Arial" w:hAnsi="Arial" w:hint="default"/>
      </w:rPr>
    </w:lvl>
    <w:lvl w:ilvl="3" w:tplc="53FC5AD0" w:tentative="1">
      <w:start w:val="1"/>
      <w:numFmt w:val="bullet"/>
      <w:lvlText w:val="•"/>
      <w:lvlJc w:val="left"/>
      <w:pPr>
        <w:tabs>
          <w:tab w:val="num" w:pos="2520"/>
        </w:tabs>
        <w:ind w:left="2520" w:hanging="360"/>
      </w:pPr>
      <w:rPr>
        <w:rFonts w:ascii="Arial" w:hAnsi="Arial" w:hint="default"/>
      </w:rPr>
    </w:lvl>
    <w:lvl w:ilvl="4" w:tplc="5E487E6A" w:tentative="1">
      <w:start w:val="1"/>
      <w:numFmt w:val="bullet"/>
      <w:lvlText w:val="•"/>
      <w:lvlJc w:val="left"/>
      <w:pPr>
        <w:tabs>
          <w:tab w:val="num" w:pos="3240"/>
        </w:tabs>
        <w:ind w:left="3240" w:hanging="360"/>
      </w:pPr>
      <w:rPr>
        <w:rFonts w:ascii="Arial" w:hAnsi="Arial" w:hint="default"/>
      </w:rPr>
    </w:lvl>
    <w:lvl w:ilvl="5" w:tplc="06C4EFAA" w:tentative="1">
      <w:start w:val="1"/>
      <w:numFmt w:val="bullet"/>
      <w:lvlText w:val="•"/>
      <w:lvlJc w:val="left"/>
      <w:pPr>
        <w:tabs>
          <w:tab w:val="num" w:pos="3960"/>
        </w:tabs>
        <w:ind w:left="3960" w:hanging="360"/>
      </w:pPr>
      <w:rPr>
        <w:rFonts w:ascii="Arial" w:hAnsi="Arial" w:hint="default"/>
      </w:rPr>
    </w:lvl>
    <w:lvl w:ilvl="6" w:tplc="FF700A0A" w:tentative="1">
      <w:start w:val="1"/>
      <w:numFmt w:val="bullet"/>
      <w:lvlText w:val="•"/>
      <w:lvlJc w:val="left"/>
      <w:pPr>
        <w:tabs>
          <w:tab w:val="num" w:pos="4680"/>
        </w:tabs>
        <w:ind w:left="4680" w:hanging="360"/>
      </w:pPr>
      <w:rPr>
        <w:rFonts w:ascii="Arial" w:hAnsi="Arial" w:hint="default"/>
      </w:rPr>
    </w:lvl>
    <w:lvl w:ilvl="7" w:tplc="9E6ABF2C" w:tentative="1">
      <w:start w:val="1"/>
      <w:numFmt w:val="bullet"/>
      <w:lvlText w:val="•"/>
      <w:lvlJc w:val="left"/>
      <w:pPr>
        <w:tabs>
          <w:tab w:val="num" w:pos="5400"/>
        </w:tabs>
        <w:ind w:left="5400" w:hanging="360"/>
      </w:pPr>
      <w:rPr>
        <w:rFonts w:ascii="Arial" w:hAnsi="Arial" w:hint="default"/>
      </w:rPr>
    </w:lvl>
    <w:lvl w:ilvl="8" w:tplc="8400636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B700B34"/>
    <w:multiLevelType w:val="hybridMultilevel"/>
    <w:tmpl w:val="F32A263C"/>
    <w:lvl w:ilvl="0" w:tplc="2F4CF246">
      <w:start w:val="1"/>
      <w:numFmt w:val="bullet"/>
      <w:lvlText w:val="•"/>
      <w:lvlJc w:val="left"/>
      <w:pPr>
        <w:tabs>
          <w:tab w:val="num" w:pos="720"/>
        </w:tabs>
        <w:ind w:left="720" w:hanging="360"/>
      </w:pPr>
      <w:rPr>
        <w:rFonts w:ascii="Arial" w:hAnsi="Arial" w:hint="default"/>
      </w:rPr>
    </w:lvl>
    <w:lvl w:ilvl="1" w:tplc="006EEBA6" w:tentative="1">
      <w:start w:val="1"/>
      <w:numFmt w:val="bullet"/>
      <w:lvlText w:val="•"/>
      <w:lvlJc w:val="left"/>
      <w:pPr>
        <w:tabs>
          <w:tab w:val="num" w:pos="1440"/>
        </w:tabs>
        <w:ind w:left="1440" w:hanging="360"/>
      </w:pPr>
      <w:rPr>
        <w:rFonts w:ascii="Arial" w:hAnsi="Arial" w:hint="default"/>
      </w:rPr>
    </w:lvl>
    <w:lvl w:ilvl="2" w:tplc="F746EB90" w:tentative="1">
      <w:start w:val="1"/>
      <w:numFmt w:val="bullet"/>
      <w:lvlText w:val="•"/>
      <w:lvlJc w:val="left"/>
      <w:pPr>
        <w:tabs>
          <w:tab w:val="num" w:pos="2160"/>
        </w:tabs>
        <w:ind w:left="2160" w:hanging="360"/>
      </w:pPr>
      <w:rPr>
        <w:rFonts w:ascii="Arial" w:hAnsi="Arial" w:hint="default"/>
      </w:rPr>
    </w:lvl>
    <w:lvl w:ilvl="3" w:tplc="9D58C94C" w:tentative="1">
      <w:start w:val="1"/>
      <w:numFmt w:val="bullet"/>
      <w:lvlText w:val="•"/>
      <w:lvlJc w:val="left"/>
      <w:pPr>
        <w:tabs>
          <w:tab w:val="num" w:pos="2880"/>
        </w:tabs>
        <w:ind w:left="2880" w:hanging="360"/>
      </w:pPr>
      <w:rPr>
        <w:rFonts w:ascii="Arial" w:hAnsi="Arial" w:hint="default"/>
      </w:rPr>
    </w:lvl>
    <w:lvl w:ilvl="4" w:tplc="EE68A59E" w:tentative="1">
      <w:start w:val="1"/>
      <w:numFmt w:val="bullet"/>
      <w:lvlText w:val="•"/>
      <w:lvlJc w:val="left"/>
      <w:pPr>
        <w:tabs>
          <w:tab w:val="num" w:pos="3600"/>
        </w:tabs>
        <w:ind w:left="3600" w:hanging="360"/>
      </w:pPr>
      <w:rPr>
        <w:rFonts w:ascii="Arial" w:hAnsi="Arial" w:hint="default"/>
      </w:rPr>
    </w:lvl>
    <w:lvl w:ilvl="5" w:tplc="2A1E1438" w:tentative="1">
      <w:start w:val="1"/>
      <w:numFmt w:val="bullet"/>
      <w:lvlText w:val="•"/>
      <w:lvlJc w:val="left"/>
      <w:pPr>
        <w:tabs>
          <w:tab w:val="num" w:pos="4320"/>
        </w:tabs>
        <w:ind w:left="4320" w:hanging="360"/>
      </w:pPr>
      <w:rPr>
        <w:rFonts w:ascii="Arial" w:hAnsi="Arial" w:hint="default"/>
      </w:rPr>
    </w:lvl>
    <w:lvl w:ilvl="6" w:tplc="2CEA697A" w:tentative="1">
      <w:start w:val="1"/>
      <w:numFmt w:val="bullet"/>
      <w:lvlText w:val="•"/>
      <w:lvlJc w:val="left"/>
      <w:pPr>
        <w:tabs>
          <w:tab w:val="num" w:pos="5040"/>
        </w:tabs>
        <w:ind w:left="5040" w:hanging="360"/>
      </w:pPr>
      <w:rPr>
        <w:rFonts w:ascii="Arial" w:hAnsi="Arial" w:hint="default"/>
      </w:rPr>
    </w:lvl>
    <w:lvl w:ilvl="7" w:tplc="E4D6877E" w:tentative="1">
      <w:start w:val="1"/>
      <w:numFmt w:val="bullet"/>
      <w:lvlText w:val="•"/>
      <w:lvlJc w:val="left"/>
      <w:pPr>
        <w:tabs>
          <w:tab w:val="num" w:pos="5760"/>
        </w:tabs>
        <w:ind w:left="5760" w:hanging="360"/>
      </w:pPr>
      <w:rPr>
        <w:rFonts w:ascii="Arial" w:hAnsi="Arial" w:hint="default"/>
      </w:rPr>
    </w:lvl>
    <w:lvl w:ilvl="8" w:tplc="7D943CB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EE5531"/>
    <w:multiLevelType w:val="hybridMultilevel"/>
    <w:tmpl w:val="E1F290C4"/>
    <w:lvl w:ilvl="0" w:tplc="5C1E4D90">
      <w:start w:val="1"/>
      <w:numFmt w:val="bullet"/>
      <w:lvlText w:val="•"/>
      <w:lvlJc w:val="left"/>
      <w:pPr>
        <w:tabs>
          <w:tab w:val="num" w:pos="720"/>
        </w:tabs>
        <w:ind w:left="720" w:hanging="360"/>
      </w:pPr>
      <w:rPr>
        <w:rFonts w:ascii="Arial" w:hAnsi="Arial" w:hint="default"/>
      </w:rPr>
    </w:lvl>
    <w:lvl w:ilvl="1" w:tplc="F71689AA" w:tentative="1">
      <w:start w:val="1"/>
      <w:numFmt w:val="bullet"/>
      <w:lvlText w:val="•"/>
      <w:lvlJc w:val="left"/>
      <w:pPr>
        <w:tabs>
          <w:tab w:val="num" w:pos="1440"/>
        </w:tabs>
        <w:ind w:left="1440" w:hanging="360"/>
      </w:pPr>
      <w:rPr>
        <w:rFonts w:ascii="Arial" w:hAnsi="Arial" w:hint="default"/>
      </w:rPr>
    </w:lvl>
    <w:lvl w:ilvl="2" w:tplc="BA76BF3A" w:tentative="1">
      <w:start w:val="1"/>
      <w:numFmt w:val="bullet"/>
      <w:lvlText w:val="•"/>
      <w:lvlJc w:val="left"/>
      <w:pPr>
        <w:tabs>
          <w:tab w:val="num" w:pos="2160"/>
        </w:tabs>
        <w:ind w:left="2160" w:hanging="360"/>
      </w:pPr>
      <w:rPr>
        <w:rFonts w:ascii="Arial" w:hAnsi="Arial" w:hint="default"/>
      </w:rPr>
    </w:lvl>
    <w:lvl w:ilvl="3" w:tplc="C4882BC0" w:tentative="1">
      <w:start w:val="1"/>
      <w:numFmt w:val="bullet"/>
      <w:lvlText w:val="•"/>
      <w:lvlJc w:val="left"/>
      <w:pPr>
        <w:tabs>
          <w:tab w:val="num" w:pos="2880"/>
        </w:tabs>
        <w:ind w:left="2880" w:hanging="360"/>
      </w:pPr>
      <w:rPr>
        <w:rFonts w:ascii="Arial" w:hAnsi="Arial" w:hint="default"/>
      </w:rPr>
    </w:lvl>
    <w:lvl w:ilvl="4" w:tplc="F3C47200" w:tentative="1">
      <w:start w:val="1"/>
      <w:numFmt w:val="bullet"/>
      <w:lvlText w:val="•"/>
      <w:lvlJc w:val="left"/>
      <w:pPr>
        <w:tabs>
          <w:tab w:val="num" w:pos="3600"/>
        </w:tabs>
        <w:ind w:left="3600" w:hanging="360"/>
      </w:pPr>
      <w:rPr>
        <w:rFonts w:ascii="Arial" w:hAnsi="Arial" w:hint="default"/>
      </w:rPr>
    </w:lvl>
    <w:lvl w:ilvl="5" w:tplc="D53CF48C" w:tentative="1">
      <w:start w:val="1"/>
      <w:numFmt w:val="bullet"/>
      <w:lvlText w:val="•"/>
      <w:lvlJc w:val="left"/>
      <w:pPr>
        <w:tabs>
          <w:tab w:val="num" w:pos="4320"/>
        </w:tabs>
        <w:ind w:left="4320" w:hanging="360"/>
      </w:pPr>
      <w:rPr>
        <w:rFonts w:ascii="Arial" w:hAnsi="Arial" w:hint="default"/>
      </w:rPr>
    </w:lvl>
    <w:lvl w:ilvl="6" w:tplc="4580B676" w:tentative="1">
      <w:start w:val="1"/>
      <w:numFmt w:val="bullet"/>
      <w:lvlText w:val="•"/>
      <w:lvlJc w:val="left"/>
      <w:pPr>
        <w:tabs>
          <w:tab w:val="num" w:pos="5040"/>
        </w:tabs>
        <w:ind w:left="5040" w:hanging="360"/>
      </w:pPr>
      <w:rPr>
        <w:rFonts w:ascii="Arial" w:hAnsi="Arial" w:hint="default"/>
      </w:rPr>
    </w:lvl>
    <w:lvl w:ilvl="7" w:tplc="718EBD78" w:tentative="1">
      <w:start w:val="1"/>
      <w:numFmt w:val="bullet"/>
      <w:lvlText w:val="•"/>
      <w:lvlJc w:val="left"/>
      <w:pPr>
        <w:tabs>
          <w:tab w:val="num" w:pos="5760"/>
        </w:tabs>
        <w:ind w:left="5760" w:hanging="360"/>
      </w:pPr>
      <w:rPr>
        <w:rFonts w:ascii="Arial" w:hAnsi="Arial" w:hint="default"/>
      </w:rPr>
    </w:lvl>
    <w:lvl w:ilvl="8" w:tplc="44B2D0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C65F37"/>
    <w:multiLevelType w:val="hybridMultilevel"/>
    <w:tmpl w:val="169A74DC"/>
    <w:lvl w:ilvl="0" w:tplc="A54A7BC8">
      <w:start w:val="1"/>
      <w:numFmt w:val="bullet"/>
      <w:lvlText w:val="•"/>
      <w:lvlJc w:val="left"/>
      <w:pPr>
        <w:tabs>
          <w:tab w:val="num" w:pos="360"/>
        </w:tabs>
        <w:ind w:left="360" w:hanging="360"/>
      </w:pPr>
      <w:rPr>
        <w:rFonts w:ascii="Arial" w:hAnsi="Arial" w:hint="default"/>
      </w:rPr>
    </w:lvl>
    <w:lvl w:ilvl="1" w:tplc="2F6EDA5A">
      <w:start w:val="4098"/>
      <w:numFmt w:val="bullet"/>
      <w:lvlText w:val="•"/>
      <w:lvlJc w:val="left"/>
      <w:pPr>
        <w:tabs>
          <w:tab w:val="num" w:pos="1080"/>
        </w:tabs>
        <w:ind w:left="1080" w:hanging="360"/>
      </w:pPr>
      <w:rPr>
        <w:rFonts w:ascii="Arial" w:hAnsi="Arial" w:hint="default"/>
      </w:rPr>
    </w:lvl>
    <w:lvl w:ilvl="2" w:tplc="7118281E" w:tentative="1">
      <w:start w:val="1"/>
      <w:numFmt w:val="bullet"/>
      <w:lvlText w:val="•"/>
      <w:lvlJc w:val="left"/>
      <w:pPr>
        <w:tabs>
          <w:tab w:val="num" w:pos="1800"/>
        </w:tabs>
        <w:ind w:left="1800" w:hanging="360"/>
      </w:pPr>
      <w:rPr>
        <w:rFonts w:ascii="Arial" w:hAnsi="Arial" w:hint="default"/>
      </w:rPr>
    </w:lvl>
    <w:lvl w:ilvl="3" w:tplc="61464EA0" w:tentative="1">
      <w:start w:val="1"/>
      <w:numFmt w:val="bullet"/>
      <w:lvlText w:val="•"/>
      <w:lvlJc w:val="left"/>
      <w:pPr>
        <w:tabs>
          <w:tab w:val="num" w:pos="2520"/>
        </w:tabs>
        <w:ind w:left="2520" w:hanging="360"/>
      </w:pPr>
      <w:rPr>
        <w:rFonts w:ascii="Arial" w:hAnsi="Arial" w:hint="default"/>
      </w:rPr>
    </w:lvl>
    <w:lvl w:ilvl="4" w:tplc="C5806CA6" w:tentative="1">
      <w:start w:val="1"/>
      <w:numFmt w:val="bullet"/>
      <w:lvlText w:val="•"/>
      <w:lvlJc w:val="left"/>
      <w:pPr>
        <w:tabs>
          <w:tab w:val="num" w:pos="3240"/>
        </w:tabs>
        <w:ind w:left="3240" w:hanging="360"/>
      </w:pPr>
      <w:rPr>
        <w:rFonts w:ascii="Arial" w:hAnsi="Arial" w:hint="default"/>
      </w:rPr>
    </w:lvl>
    <w:lvl w:ilvl="5" w:tplc="9D1A81D2" w:tentative="1">
      <w:start w:val="1"/>
      <w:numFmt w:val="bullet"/>
      <w:lvlText w:val="•"/>
      <w:lvlJc w:val="left"/>
      <w:pPr>
        <w:tabs>
          <w:tab w:val="num" w:pos="3960"/>
        </w:tabs>
        <w:ind w:left="3960" w:hanging="360"/>
      </w:pPr>
      <w:rPr>
        <w:rFonts w:ascii="Arial" w:hAnsi="Arial" w:hint="default"/>
      </w:rPr>
    </w:lvl>
    <w:lvl w:ilvl="6" w:tplc="D04ECF00" w:tentative="1">
      <w:start w:val="1"/>
      <w:numFmt w:val="bullet"/>
      <w:lvlText w:val="•"/>
      <w:lvlJc w:val="left"/>
      <w:pPr>
        <w:tabs>
          <w:tab w:val="num" w:pos="4680"/>
        </w:tabs>
        <w:ind w:left="4680" w:hanging="360"/>
      </w:pPr>
      <w:rPr>
        <w:rFonts w:ascii="Arial" w:hAnsi="Arial" w:hint="default"/>
      </w:rPr>
    </w:lvl>
    <w:lvl w:ilvl="7" w:tplc="B51C9DE2" w:tentative="1">
      <w:start w:val="1"/>
      <w:numFmt w:val="bullet"/>
      <w:lvlText w:val="•"/>
      <w:lvlJc w:val="left"/>
      <w:pPr>
        <w:tabs>
          <w:tab w:val="num" w:pos="5400"/>
        </w:tabs>
        <w:ind w:left="5400" w:hanging="360"/>
      </w:pPr>
      <w:rPr>
        <w:rFonts w:ascii="Arial" w:hAnsi="Arial" w:hint="default"/>
      </w:rPr>
    </w:lvl>
    <w:lvl w:ilvl="8" w:tplc="62B8B6C8"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5092E80"/>
    <w:multiLevelType w:val="hybridMultilevel"/>
    <w:tmpl w:val="3844069E"/>
    <w:lvl w:ilvl="0" w:tplc="2F647C64">
      <w:start w:val="1"/>
      <w:numFmt w:val="bullet"/>
      <w:lvlText w:val="•"/>
      <w:lvlJc w:val="left"/>
      <w:pPr>
        <w:tabs>
          <w:tab w:val="num" w:pos="360"/>
        </w:tabs>
        <w:ind w:left="360" w:hanging="360"/>
      </w:pPr>
      <w:rPr>
        <w:rFonts w:ascii="Arial" w:hAnsi="Arial" w:hint="default"/>
      </w:rPr>
    </w:lvl>
    <w:lvl w:ilvl="1" w:tplc="88B65990" w:tentative="1">
      <w:start w:val="1"/>
      <w:numFmt w:val="bullet"/>
      <w:lvlText w:val="•"/>
      <w:lvlJc w:val="left"/>
      <w:pPr>
        <w:tabs>
          <w:tab w:val="num" w:pos="1080"/>
        </w:tabs>
        <w:ind w:left="1080" w:hanging="360"/>
      </w:pPr>
      <w:rPr>
        <w:rFonts w:ascii="Arial" w:hAnsi="Arial" w:hint="default"/>
      </w:rPr>
    </w:lvl>
    <w:lvl w:ilvl="2" w:tplc="5F72F2C6" w:tentative="1">
      <w:start w:val="1"/>
      <w:numFmt w:val="bullet"/>
      <w:lvlText w:val="•"/>
      <w:lvlJc w:val="left"/>
      <w:pPr>
        <w:tabs>
          <w:tab w:val="num" w:pos="1800"/>
        </w:tabs>
        <w:ind w:left="1800" w:hanging="360"/>
      </w:pPr>
      <w:rPr>
        <w:rFonts w:ascii="Arial" w:hAnsi="Arial" w:hint="default"/>
      </w:rPr>
    </w:lvl>
    <w:lvl w:ilvl="3" w:tplc="5EE84404" w:tentative="1">
      <w:start w:val="1"/>
      <w:numFmt w:val="bullet"/>
      <w:lvlText w:val="•"/>
      <w:lvlJc w:val="left"/>
      <w:pPr>
        <w:tabs>
          <w:tab w:val="num" w:pos="2520"/>
        </w:tabs>
        <w:ind w:left="2520" w:hanging="360"/>
      </w:pPr>
      <w:rPr>
        <w:rFonts w:ascii="Arial" w:hAnsi="Arial" w:hint="default"/>
      </w:rPr>
    </w:lvl>
    <w:lvl w:ilvl="4" w:tplc="E18419C2" w:tentative="1">
      <w:start w:val="1"/>
      <w:numFmt w:val="bullet"/>
      <w:lvlText w:val="•"/>
      <w:lvlJc w:val="left"/>
      <w:pPr>
        <w:tabs>
          <w:tab w:val="num" w:pos="3240"/>
        </w:tabs>
        <w:ind w:left="3240" w:hanging="360"/>
      </w:pPr>
      <w:rPr>
        <w:rFonts w:ascii="Arial" w:hAnsi="Arial" w:hint="default"/>
      </w:rPr>
    </w:lvl>
    <w:lvl w:ilvl="5" w:tplc="88ACA7FA" w:tentative="1">
      <w:start w:val="1"/>
      <w:numFmt w:val="bullet"/>
      <w:lvlText w:val="•"/>
      <w:lvlJc w:val="left"/>
      <w:pPr>
        <w:tabs>
          <w:tab w:val="num" w:pos="3960"/>
        </w:tabs>
        <w:ind w:left="3960" w:hanging="360"/>
      </w:pPr>
      <w:rPr>
        <w:rFonts w:ascii="Arial" w:hAnsi="Arial" w:hint="default"/>
      </w:rPr>
    </w:lvl>
    <w:lvl w:ilvl="6" w:tplc="91F84674" w:tentative="1">
      <w:start w:val="1"/>
      <w:numFmt w:val="bullet"/>
      <w:lvlText w:val="•"/>
      <w:lvlJc w:val="left"/>
      <w:pPr>
        <w:tabs>
          <w:tab w:val="num" w:pos="4680"/>
        </w:tabs>
        <w:ind w:left="4680" w:hanging="360"/>
      </w:pPr>
      <w:rPr>
        <w:rFonts w:ascii="Arial" w:hAnsi="Arial" w:hint="default"/>
      </w:rPr>
    </w:lvl>
    <w:lvl w:ilvl="7" w:tplc="60BC5FBE" w:tentative="1">
      <w:start w:val="1"/>
      <w:numFmt w:val="bullet"/>
      <w:lvlText w:val="•"/>
      <w:lvlJc w:val="left"/>
      <w:pPr>
        <w:tabs>
          <w:tab w:val="num" w:pos="5400"/>
        </w:tabs>
        <w:ind w:left="5400" w:hanging="360"/>
      </w:pPr>
      <w:rPr>
        <w:rFonts w:ascii="Arial" w:hAnsi="Arial" w:hint="default"/>
      </w:rPr>
    </w:lvl>
    <w:lvl w:ilvl="8" w:tplc="5866D9FE"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A432331"/>
    <w:multiLevelType w:val="hybridMultilevel"/>
    <w:tmpl w:val="9932C186"/>
    <w:lvl w:ilvl="0" w:tplc="DF02E0B8">
      <w:start w:val="1"/>
      <w:numFmt w:val="bullet"/>
      <w:lvlText w:val="•"/>
      <w:lvlJc w:val="left"/>
      <w:pPr>
        <w:tabs>
          <w:tab w:val="num" w:pos="720"/>
        </w:tabs>
        <w:ind w:left="720" w:hanging="360"/>
      </w:pPr>
      <w:rPr>
        <w:rFonts w:ascii="Arial" w:hAnsi="Arial" w:hint="default"/>
      </w:rPr>
    </w:lvl>
    <w:lvl w:ilvl="1" w:tplc="8B08557C" w:tentative="1">
      <w:start w:val="1"/>
      <w:numFmt w:val="bullet"/>
      <w:lvlText w:val="•"/>
      <w:lvlJc w:val="left"/>
      <w:pPr>
        <w:tabs>
          <w:tab w:val="num" w:pos="1440"/>
        </w:tabs>
        <w:ind w:left="1440" w:hanging="360"/>
      </w:pPr>
      <w:rPr>
        <w:rFonts w:ascii="Arial" w:hAnsi="Arial" w:hint="default"/>
      </w:rPr>
    </w:lvl>
    <w:lvl w:ilvl="2" w:tplc="FB188158" w:tentative="1">
      <w:start w:val="1"/>
      <w:numFmt w:val="bullet"/>
      <w:lvlText w:val="•"/>
      <w:lvlJc w:val="left"/>
      <w:pPr>
        <w:tabs>
          <w:tab w:val="num" w:pos="2160"/>
        </w:tabs>
        <w:ind w:left="2160" w:hanging="360"/>
      </w:pPr>
      <w:rPr>
        <w:rFonts w:ascii="Arial" w:hAnsi="Arial" w:hint="default"/>
      </w:rPr>
    </w:lvl>
    <w:lvl w:ilvl="3" w:tplc="AA5C1A64" w:tentative="1">
      <w:start w:val="1"/>
      <w:numFmt w:val="bullet"/>
      <w:lvlText w:val="•"/>
      <w:lvlJc w:val="left"/>
      <w:pPr>
        <w:tabs>
          <w:tab w:val="num" w:pos="2880"/>
        </w:tabs>
        <w:ind w:left="2880" w:hanging="360"/>
      </w:pPr>
      <w:rPr>
        <w:rFonts w:ascii="Arial" w:hAnsi="Arial" w:hint="default"/>
      </w:rPr>
    </w:lvl>
    <w:lvl w:ilvl="4" w:tplc="DC66CD80" w:tentative="1">
      <w:start w:val="1"/>
      <w:numFmt w:val="bullet"/>
      <w:lvlText w:val="•"/>
      <w:lvlJc w:val="left"/>
      <w:pPr>
        <w:tabs>
          <w:tab w:val="num" w:pos="3600"/>
        </w:tabs>
        <w:ind w:left="3600" w:hanging="360"/>
      </w:pPr>
      <w:rPr>
        <w:rFonts w:ascii="Arial" w:hAnsi="Arial" w:hint="default"/>
      </w:rPr>
    </w:lvl>
    <w:lvl w:ilvl="5" w:tplc="59E2AB68" w:tentative="1">
      <w:start w:val="1"/>
      <w:numFmt w:val="bullet"/>
      <w:lvlText w:val="•"/>
      <w:lvlJc w:val="left"/>
      <w:pPr>
        <w:tabs>
          <w:tab w:val="num" w:pos="4320"/>
        </w:tabs>
        <w:ind w:left="4320" w:hanging="360"/>
      </w:pPr>
      <w:rPr>
        <w:rFonts w:ascii="Arial" w:hAnsi="Arial" w:hint="default"/>
      </w:rPr>
    </w:lvl>
    <w:lvl w:ilvl="6" w:tplc="36D607FA" w:tentative="1">
      <w:start w:val="1"/>
      <w:numFmt w:val="bullet"/>
      <w:lvlText w:val="•"/>
      <w:lvlJc w:val="left"/>
      <w:pPr>
        <w:tabs>
          <w:tab w:val="num" w:pos="5040"/>
        </w:tabs>
        <w:ind w:left="5040" w:hanging="360"/>
      </w:pPr>
      <w:rPr>
        <w:rFonts w:ascii="Arial" w:hAnsi="Arial" w:hint="default"/>
      </w:rPr>
    </w:lvl>
    <w:lvl w:ilvl="7" w:tplc="5BDCA132" w:tentative="1">
      <w:start w:val="1"/>
      <w:numFmt w:val="bullet"/>
      <w:lvlText w:val="•"/>
      <w:lvlJc w:val="left"/>
      <w:pPr>
        <w:tabs>
          <w:tab w:val="num" w:pos="5760"/>
        </w:tabs>
        <w:ind w:left="5760" w:hanging="360"/>
      </w:pPr>
      <w:rPr>
        <w:rFonts w:ascii="Arial" w:hAnsi="Arial" w:hint="default"/>
      </w:rPr>
    </w:lvl>
    <w:lvl w:ilvl="8" w:tplc="93883D0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5D6EB6"/>
    <w:multiLevelType w:val="hybridMultilevel"/>
    <w:tmpl w:val="FF68C0F8"/>
    <w:lvl w:ilvl="0" w:tplc="A58EC190">
      <w:start w:val="1"/>
      <w:numFmt w:val="bullet"/>
      <w:lvlText w:val="•"/>
      <w:lvlJc w:val="left"/>
      <w:pPr>
        <w:tabs>
          <w:tab w:val="num" w:pos="720"/>
        </w:tabs>
        <w:ind w:left="720" w:hanging="360"/>
      </w:pPr>
      <w:rPr>
        <w:rFonts w:ascii="Arial" w:hAnsi="Arial" w:hint="default"/>
      </w:rPr>
    </w:lvl>
    <w:lvl w:ilvl="1" w:tplc="34C61D6E" w:tentative="1">
      <w:start w:val="1"/>
      <w:numFmt w:val="bullet"/>
      <w:lvlText w:val="•"/>
      <w:lvlJc w:val="left"/>
      <w:pPr>
        <w:tabs>
          <w:tab w:val="num" w:pos="1440"/>
        </w:tabs>
        <w:ind w:left="1440" w:hanging="360"/>
      </w:pPr>
      <w:rPr>
        <w:rFonts w:ascii="Arial" w:hAnsi="Arial" w:hint="default"/>
      </w:rPr>
    </w:lvl>
    <w:lvl w:ilvl="2" w:tplc="6868F466" w:tentative="1">
      <w:start w:val="1"/>
      <w:numFmt w:val="bullet"/>
      <w:lvlText w:val="•"/>
      <w:lvlJc w:val="left"/>
      <w:pPr>
        <w:tabs>
          <w:tab w:val="num" w:pos="2160"/>
        </w:tabs>
        <w:ind w:left="2160" w:hanging="360"/>
      </w:pPr>
      <w:rPr>
        <w:rFonts w:ascii="Arial" w:hAnsi="Arial" w:hint="default"/>
      </w:rPr>
    </w:lvl>
    <w:lvl w:ilvl="3" w:tplc="84308A40" w:tentative="1">
      <w:start w:val="1"/>
      <w:numFmt w:val="bullet"/>
      <w:lvlText w:val="•"/>
      <w:lvlJc w:val="left"/>
      <w:pPr>
        <w:tabs>
          <w:tab w:val="num" w:pos="2880"/>
        </w:tabs>
        <w:ind w:left="2880" w:hanging="360"/>
      </w:pPr>
      <w:rPr>
        <w:rFonts w:ascii="Arial" w:hAnsi="Arial" w:hint="default"/>
      </w:rPr>
    </w:lvl>
    <w:lvl w:ilvl="4" w:tplc="38440B42" w:tentative="1">
      <w:start w:val="1"/>
      <w:numFmt w:val="bullet"/>
      <w:lvlText w:val="•"/>
      <w:lvlJc w:val="left"/>
      <w:pPr>
        <w:tabs>
          <w:tab w:val="num" w:pos="3600"/>
        </w:tabs>
        <w:ind w:left="3600" w:hanging="360"/>
      </w:pPr>
      <w:rPr>
        <w:rFonts w:ascii="Arial" w:hAnsi="Arial" w:hint="default"/>
      </w:rPr>
    </w:lvl>
    <w:lvl w:ilvl="5" w:tplc="438E0032" w:tentative="1">
      <w:start w:val="1"/>
      <w:numFmt w:val="bullet"/>
      <w:lvlText w:val="•"/>
      <w:lvlJc w:val="left"/>
      <w:pPr>
        <w:tabs>
          <w:tab w:val="num" w:pos="4320"/>
        </w:tabs>
        <w:ind w:left="4320" w:hanging="360"/>
      </w:pPr>
      <w:rPr>
        <w:rFonts w:ascii="Arial" w:hAnsi="Arial" w:hint="default"/>
      </w:rPr>
    </w:lvl>
    <w:lvl w:ilvl="6" w:tplc="DC5AE34E" w:tentative="1">
      <w:start w:val="1"/>
      <w:numFmt w:val="bullet"/>
      <w:lvlText w:val="•"/>
      <w:lvlJc w:val="left"/>
      <w:pPr>
        <w:tabs>
          <w:tab w:val="num" w:pos="5040"/>
        </w:tabs>
        <w:ind w:left="5040" w:hanging="360"/>
      </w:pPr>
      <w:rPr>
        <w:rFonts w:ascii="Arial" w:hAnsi="Arial" w:hint="default"/>
      </w:rPr>
    </w:lvl>
    <w:lvl w:ilvl="7" w:tplc="EC7CE2DC" w:tentative="1">
      <w:start w:val="1"/>
      <w:numFmt w:val="bullet"/>
      <w:lvlText w:val="•"/>
      <w:lvlJc w:val="left"/>
      <w:pPr>
        <w:tabs>
          <w:tab w:val="num" w:pos="5760"/>
        </w:tabs>
        <w:ind w:left="5760" w:hanging="360"/>
      </w:pPr>
      <w:rPr>
        <w:rFonts w:ascii="Arial" w:hAnsi="Arial" w:hint="default"/>
      </w:rPr>
    </w:lvl>
    <w:lvl w:ilvl="8" w:tplc="ADBA44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C03754"/>
    <w:multiLevelType w:val="hybridMultilevel"/>
    <w:tmpl w:val="A2AC1EE8"/>
    <w:lvl w:ilvl="0" w:tplc="0BE240E6">
      <w:start w:val="1"/>
      <w:numFmt w:val="bullet"/>
      <w:lvlText w:val="•"/>
      <w:lvlJc w:val="left"/>
      <w:pPr>
        <w:tabs>
          <w:tab w:val="num" w:pos="720"/>
        </w:tabs>
        <w:ind w:left="720" w:hanging="360"/>
      </w:pPr>
      <w:rPr>
        <w:rFonts w:ascii="Arial" w:hAnsi="Arial" w:hint="default"/>
      </w:rPr>
    </w:lvl>
    <w:lvl w:ilvl="1" w:tplc="09E29CCE" w:tentative="1">
      <w:start w:val="1"/>
      <w:numFmt w:val="bullet"/>
      <w:lvlText w:val="•"/>
      <w:lvlJc w:val="left"/>
      <w:pPr>
        <w:tabs>
          <w:tab w:val="num" w:pos="1440"/>
        </w:tabs>
        <w:ind w:left="1440" w:hanging="360"/>
      </w:pPr>
      <w:rPr>
        <w:rFonts w:ascii="Arial" w:hAnsi="Arial" w:hint="default"/>
      </w:rPr>
    </w:lvl>
    <w:lvl w:ilvl="2" w:tplc="09823EA8" w:tentative="1">
      <w:start w:val="1"/>
      <w:numFmt w:val="bullet"/>
      <w:lvlText w:val="•"/>
      <w:lvlJc w:val="left"/>
      <w:pPr>
        <w:tabs>
          <w:tab w:val="num" w:pos="2160"/>
        </w:tabs>
        <w:ind w:left="2160" w:hanging="360"/>
      </w:pPr>
      <w:rPr>
        <w:rFonts w:ascii="Arial" w:hAnsi="Arial" w:hint="default"/>
      </w:rPr>
    </w:lvl>
    <w:lvl w:ilvl="3" w:tplc="2998140A" w:tentative="1">
      <w:start w:val="1"/>
      <w:numFmt w:val="bullet"/>
      <w:lvlText w:val="•"/>
      <w:lvlJc w:val="left"/>
      <w:pPr>
        <w:tabs>
          <w:tab w:val="num" w:pos="2880"/>
        </w:tabs>
        <w:ind w:left="2880" w:hanging="360"/>
      </w:pPr>
      <w:rPr>
        <w:rFonts w:ascii="Arial" w:hAnsi="Arial" w:hint="default"/>
      </w:rPr>
    </w:lvl>
    <w:lvl w:ilvl="4" w:tplc="2E0E3B04" w:tentative="1">
      <w:start w:val="1"/>
      <w:numFmt w:val="bullet"/>
      <w:lvlText w:val="•"/>
      <w:lvlJc w:val="left"/>
      <w:pPr>
        <w:tabs>
          <w:tab w:val="num" w:pos="3600"/>
        </w:tabs>
        <w:ind w:left="3600" w:hanging="360"/>
      </w:pPr>
      <w:rPr>
        <w:rFonts w:ascii="Arial" w:hAnsi="Arial" w:hint="default"/>
      </w:rPr>
    </w:lvl>
    <w:lvl w:ilvl="5" w:tplc="67B28D68" w:tentative="1">
      <w:start w:val="1"/>
      <w:numFmt w:val="bullet"/>
      <w:lvlText w:val="•"/>
      <w:lvlJc w:val="left"/>
      <w:pPr>
        <w:tabs>
          <w:tab w:val="num" w:pos="4320"/>
        </w:tabs>
        <w:ind w:left="4320" w:hanging="360"/>
      </w:pPr>
      <w:rPr>
        <w:rFonts w:ascii="Arial" w:hAnsi="Arial" w:hint="default"/>
      </w:rPr>
    </w:lvl>
    <w:lvl w:ilvl="6" w:tplc="4EE64F9A" w:tentative="1">
      <w:start w:val="1"/>
      <w:numFmt w:val="bullet"/>
      <w:lvlText w:val="•"/>
      <w:lvlJc w:val="left"/>
      <w:pPr>
        <w:tabs>
          <w:tab w:val="num" w:pos="5040"/>
        </w:tabs>
        <w:ind w:left="5040" w:hanging="360"/>
      </w:pPr>
      <w:rPr>
        <w:rFonts w:ascii="Arial" w:hAnsi="Arial" w:hint="default"/>
      </w:rPr>
    </w:lvl>
    <w:lvl w:ilvl="7" w:tplc="1F8ECEF6" w:tentative="1">
      <w:start w:val="1"/>
      <w:numFmt w:val="bullet"/>
      <w:lvlText w:val="•"/>
      <w:lvlJc w:val="left"/>
      <w:pPr>
        <w:tabs>
          <w:tab w:val="num" w:pos="5760"/>
        </w:tabs>
        <w:ind w:left="5760" w:hanging="360"/>
      </w:pPr>
      <w:rPr>
        <w:rFonts w:ascii="Arial" w:hAnsi="Arial" w:hint="default"/>
      </w:rPr>
    </w:lvl>
    <w:lvl w:ilvl="8" w:tplc="31FE66D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FC3906"/>
    <w:multiLevelType w:val="hybridMultilevel"/>
    <w:tmpl w:val="AD2AC47E"/>
    <w:lvl w:ilvl="0" w:tplc="C1683192">
      <w:start w:val="1"/>
      <w:numFmt w:val="bullet"/>
      <w:lvlText w:val="•"/>
      <w:lvlJc w:val="left"/>
      <w:pPr>
        <w:tabs>
          <w:tab w:val="num" w:pos="720"/>
        </w:tabs>
        <w:ind w:left="720" w:hanging="360"/>
      </w:pPr>
      <w:rPr>
        <w:rFonts w:ascii="Arial" w:hAnsi="Arial" w:hint="default"/>
      </w:rPr>
    </w:lvl>
    <w:lvl w:ilvl="1" w:tplc="25AA6254" w:tentative="1">
      <w:start w:val="1"/>
      <w:numFmt w:val="bullet"/>
      <w:lvlText w:val="•"/>
      <w:lvlJc w:val="left"/>
      <w:pPr>
        <w:tabs>
          <w:tab w:val="num" w:pos="1440"/>
        </w:tabs>
        <w:ind w:left="1440" w:hanging="360"/>
      </w:pPr>
      <w:rPr>
        <w:rFonts w:ascii="Arial" w:hAnsi="Arial" w:hint="default"/>
      </w:rPr>
    </w:lvl>
    <w:lvl w:ilvl="2" w:tplc="9DA651F8" w:tentative="1">
      <w:start w:val="1"/>
      <w:numFmt w:val="bullet"/>
      <w:lvlText w:val="•"/>
      <w:lvlJc w:val="left"/>
      <w:pPr>
        <w:tabs>
          <w:tab w:val="num" w:pos="2160"/>
        </w:tabs>
        <w:ind w:left="2160" w:hanging="360"/>
      </w:pPr>
      <w:rPr>
        <w:rFonts w:ascii="Arial" w:hAnsi="Arial" w:hint="default"/>
      </w:rPr>
    </w:lvl>
    <w:lvl w:ilvl="3" w:tplc="0BAC1D64" w:tentative="1">
      <w:start w:val="1"/>
      <w:numFmt w:val="bullet"/>
      <w:lvlText w:val="•"/>
      <w:lvlJc w:val="left"/>
      <w:pPr>
        <w:tabs>
          <w:tab w:val="num" w:pos="2880"/>
        </w:tabs>
        <w:ind w:left="2880" w:hanging="360"/>
      </w:pPr>
      <w:rPr>
        <w:rFonts w:ascii="Arial" w:hAnsi="Arial" w:hint="default"/>
      </w:rPr>
    </w:lvl>
    <w:lvl w:ilvl="4" w:tplc="0D586CD0" w:tentative="1">
      <w:start w:val="1"/>
      <w:numFmt w:val="bullet"/>
      <w:lvlText w:val="•"/>
      <w:lvlJc w:val="left"/>
      <w:pPr>
        <w:tabs>
          <w:tab w:val="num" w:pos="3600"/>
        </w:tabs>
        <w:ind w:left="3600" w:hanging="360"/>
      </w:pPr>
      <w:rPr>
        <w:rFonts w:ascii="Arial" w:hAnsi="Arial" w:hint="default"/>
      </w:rPr>
    </w:lvl>
    <w:lvl w:ilvl="5" w:tplc="C816A8FC" w:tentative="1">
      <w:start w:val="1"/>
      <w:numFmt w:val="bullet"/>
      <w:lvlText w:val="•"/>
      <w:lvlJc w:val="left"/>
      <w:pPr>
        <w:tabs>
          <w:tab w:val="num" w:pos="4320"/>
        </w:tabs>
        <w:ind w:left="4320" w:hanging="360"/>
      </w:pPr>
      <w:rPr>
        <w:rFonts w:ascii="Arial" w:hAnsi="Arial" w:hint="default"/>
      </w:rPr>
    </w:lvl>
    <w:lvl w:ilvl="6" w:tplc="56521B44" w:tentative="1">
      <w:start w:val="1"/>
      <w:numFmt w:val="bullet"/>
      <w:lvlText w:val="•"/>
      <w:lvlJc w:val="left"/>
      <w:pPr>
        <w:tabs>
          <w:tab w:val="num" w:pos="5040"/>
        </w:tabs>
        <w:ind w:left="5040" w:hanging="360"/>
      </w:pPr>
      <w:rPr>
        <w:rFonts w:ascii="Arial" w:hAnsi="Arial" w:hint="default"/>
      </w:rPr>
    </w:lvl>
    <w:lvl w:ilvl="7" w:tplc="566A891A" w:tentative="1">
      <w:start w:val="1"/>
      <w:numFmt w:val="bullet"/>
      <w:lvlText w:val="•"/>
      <w:lvlJc w:val="left"/>
      <w:pPr>
        <w:tabs>
          <w:tab w:val="num" w:pos="5760"/>
        </w:tabs>
        <w:ind w:left="5760" w:hanging="360"/>
      </w:pPr>
      <w:rPr>
        <w:rFonts w:ascii="Arial" w:hAnsi="Arial" w:hint="default"/>
      </w:rPr>
    </w:lvl>
    <w:lvl w:ilvl="8" w:tplc="3A7E7EC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FF43A6"/>
    <w:multiLevelType w:val="hybridMultilevel"/>
    <w:tmpl w:val="E580EF60"/>
    <w:lvl w:ilvl="0" w:tplc="C548E316">
      <w:start w:val="1"/>
      <w:numFmt w:val="bullet"/>
      <w:lvlText w:val="•"/>
      <w:lvlJc w:val="left"/>
      <w:pPr>
        <w:tabs>
          <w:tab w:val="num" w:pos="720"/>
        </w:tabs>
        <w:ind w:left="720" w:hanging="360"/>
      </w:pPr>
      <w:rPr>
        <w:rFonts w:ascii="Arial" w:hAnsi="Arial" w:hint="default"/>
      </w:rPr>
    </w:lvl>
    <w:lvl w:ilvl="1" w:tplc="3FAAB568" w:tentative="1">
      <w:start w:val="1"/>
      <w:numFmt w:val="bullet"/>
      <w:lvlText w:val="•"/>
      <w:lvlJc w:val="left"/>
      <w:pPr>
        <w:tabs>
          <w:tab w:val="num" w:pos="1440"/>
        </w:tabs>
        <w:ind w:left="1440" w:hanging="360"/>
      </w:pPr>
      <w:rPr>
        <w:rFonts w:ascii="Arial" w:hAnsi="Arial" w:hint="default"/>
      </w:rPr>
    </w:lvl>
    <w:lvl w:ilvl="2" w:tplc="DD163AE4" w:tentative="1">
      <w:start w:val="1"/>
      <w:numFmt w:val="bullet"/>
      <w:lvlText w:val="•"/>
      <w:lvlJc w:val="left"/>
      <w:pPr>
        <w:tabs>
          <w:tab w:val="num" w:pos="2160"/>
        </w:tabs>
        <w:ind w:left="2160" w:hanging="360"/>
      </w:pPr>
      <w:rPr>
        <w:rFonts w:ascii="Arial" w:hAnsi="Arial" w:hint="default"/>
      </w:rPr>
    </w:lvl>
    <w:lvl w:ilvl="3" w:tplc="A52C1E34" w:tentative="1">
      <w:start w:val="1"/>
      <w:numFmt w:val="bullet"/>
      <w:lvlText w:val="•"/>
      <w:lvlJc w:val="left"/>
      <w:pPr>
        <w:tabs>
          <w:tab w:val="num" w:pos="2880"/>
        </w:tabs>
        <w:ind w:left="2880" w:hanging="360"/>
      </w:pPr>
      <w:rPr>
        <w:rFonts w:ascii="Arial" w:hAnsi="Arial" w:hint="default"/>
      </w:rPr>
    </w:lvl>
    <w:lvl w:ilvl="4" w:tplc="27FC73E0" w:tentative="1">
      <w:start w:val="1"/>
      <w:numFmt w:val="bullet"/>
      <w:lvlText w:val="•"/>
      <w:lvlJc w:val="left"/>
      <w:pPr>
        <w:tabs>
          <w:tab w:val="num" w:pos="3600"/>
        </w:tabs>
        <w:ind w:left="3600" w:hanging="360"/>
      </w:pPr>
      <w:rPr>
        <w:rFonts w:ascii="Arial" w:hAnsi="Arial" w:hint="default"/>
      </w:rPr>
    </w:lvl>
    <w:lvl w:ilvl="5" w:tplc="F05233B4" w:tentative="1">
      <w:start w:val="1"/>
      <w:numFmt w:val="bullet"/>
      <w:lvlText w:val="•"/>
      <w:lvlJc w:val="left"/>
      <w:pPr>
        <w:tabs>
          <w:tab w:val="num" w:pos="4320"/>
        </w:tabs>
        <w:ind w:left="4320" w:hanging="360"/>
      </w:pPr>
      <w:rPr>
        <w:rFonts w:ascii="Arial" w:hAnsi="Arial" w:hint="default"/>
      </w:rPr>
    </w:lvl>
    <w:lvl w:ilvl="6" w:tplc="05B07766" w:tentative="1">
      <w:start w:val="1"/>
      <w:numFmt w:val="bullet"/>
      <w:lvlText w:val="•"/>
      <w:lvlJc w:val="left"/>
      <w:pPr>
        <w:tabs>
          <w:tab w:val="num" w:pos="5040"/>
        </w:tabs>
        <w:ind w:left="5040" w:hanging="360"/>
      </w:pPr>
      <w:rPr>
        <w:rFonts w:ascii="Arial" w:hAnsi="Arial" w:hint="default"/>
      </w:rPr>
    </w:lvl>
    <w:lvl w:ilvl="7" w:tplc="2036FDA8" w:tentative="1">
      <w:start w:val="1"/>
      <w:numFmt w:val="bullet"/>
      <w:lvlText w:val="•"/>
      <w:lvlJc w:val="left"/>
      <w:pPr>
        <w:tabs>
          <w:tab w:val="num" w:pos="5760"/>
        </w:tabs>
        <w:ind w:left="5760" w:hanging="360"/>
      </w:pPr>
      <w:rPr>
        <w:rFonts w:ascii="Arial" w:hAnsi="Arial" w:hint="default"/>
      </w:rPr>
    </w:lvl>
    <w:lvl w:ilvl="8" w:tplc="DF36D8C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A11673"/>
    <w:multiLevelType w:val="hybridMultilevel"/>
    <w:tmpl w:val="F078C7EA"/>
    <w:lvl w:ilvl="0" w:tplc="E01C233C">
      <w:start w:val="1"/>
      <w:numFmt w:val="bullet"/>
      <w:lvlText w:val="•"/>
      <w:lvlJc w:val="left"/>
      <w:pPr>
        <w:tabs>
          <w:tab w:val="num" w:pos="720"/>
        </w:tabs>
        <w:ind w:left="720" w:hanging="360"/>
      </w:pPr>
      <w:rPr>
        <w:rFonts w:ascii="Arial" w:hAnsi="Arial" w:hint="default"/>
      </w:rPr>
    </w:lvl>
    <w:lvl w:ilvl="1" w:tplc="36082FFE" w:tentative="1">
      <w:start w:val="1"/>
      <w:numFmt w:val="bullet"/>
      <w:lvlText w:val="•"/>
      <w:lvlJc w:val="left"/>
      <w:pPr>
        <w:tabs>
          <w:tab w:val="num" w:pos="1440"/>
        </w:tabs>
        <w:ind w:left="1440" w:hanging="360"/>
      </w:pPr>
      <w:rPr>
        <w:rFonts w:ascii="Arial" w:hAnsi="Arial" w:hint="default"/>
      </w:rPr>
    </w:lvl>
    <w:lvl w:ilvl="2" w:tplc="6FEC1968" w:tentative="1">
      <w:start w:val="1"/>
      <w:numFmt w:val="bullet"/>
      <w:lvlText w:val="•"/>
      <w:lvlJc w:val="left"/>
      <w:pPr>
        <w:tabs>
          <w:tab w:val="num" w:pos="2160"/>
        </w:tabs>
        <w:ind w:left="2160" w:hanging="360"/>
      </w:pPr>
      <w:rPr>
        <w:rFonts w:ascii="Arial" w:hAnsi="Arial" w:hint="default"/>
      </w:rPr>
    </w:lvl>
    <w:lvl w:ilvl="3" w:tplc="0774369C" w:tentative="1">
      <w:start w:val="1"/>
      <w:numFmt w:val="bullet"/>
      <w:lvlText w:val="•"/>
      <w:lvlJc w:val="left"/>
      <w:pPr>
        <w:tabs>
          <w:tab w:val="num" w:pos="2880"/>
        </w:tabs>
        <w:ind w:left="2880" w:hanging="360"/>
      </w:pPr>
      <w:rPr>
        <w:rFonts w:ascii="Arial" w:hAnsi="Arial" w:hint="default"/>
      </w:rPr>
    </w:lvl>
    <w:lvl w:ilvl="4" w:tplc="7CC04B12" w:tentative="1">
      <w:start w:val="1"/>
      <w:numFmt w:val="bullet"/>
      <w:lvlText w:val="•"/>
      <w:lvlJc w:val="left"/>
      <w:pPr>
        <w:tabs>
          <w:tab w:val="num" w:pos="3600"/>
        </w:tabs>
        <w:ind w:left="3600" w:hanging="360"/>
      </w:pPr>
      <w:rPr>
        <w:rFonts w:ascii="Arial" w:hAnsi="Arial" w:hint="default"/>
      </w:rPr>
    </w:lvl>
    <w:lvl w:ilvl="5" w:tplc="87FA2006" w:tentative="1">
      <w:start w:val="1"/>
      <w:numFmt w:val="bullet"/>
      <w:lvlText w:val="•"/>
      <w:lvlJc w:val="left"/>
      <w:pPr>
        <w:tabs>
          <w:tab w:val="num" w:pos="4320"/>
        </w:tabs>
        <w:ind w:left="4320" w:hanging="360"/>
      </w:pPr>
      <w:rPr>
        <w:rFonts w:ascii="Arial" w:hAnsi="Arial" w:hint="default"/>
      </w:rPr>
    </w:lvl>
    <w:lvl w:ilvl="6" w:tplc="E4620270" w:tentative="1">
      <w:start w:val="1"/>
      <w:numFmt w:val="bullet"/>
      <w:lvlText w:val="•"/>
      <w:lvlJc w:val="left"/>
      <w:pPr>
        <w:tabs>
          <w:tab w:val="num" w:pos="5040"/>
        </w:tabs>
        <w:ind w:left="5040" w:hanging="360"/>
      </w:pPr>
      <w:rPr>
        <w:rFonts w:ascii="Arial" w:hAnsi="Arial" w:hint="default"/>
      </w:rPr>
    </w:lvl>
    <w:lvl w:ilvl="7" w:tplc="EDEC0EBC" w:tentative="1">
      <w:start w:val="1"/>
      <w:numFmt w:val="bullet"/>
      <w:lvlText w:val="•"/>
      <w:lvlJc w:val="left"/>
      <w:pPr>
        <w:tabs>
          <w:tab w:val="num" w:pos="5760"/>
        </w:tabs>
        <w:ind w:left="5760" w:hanging="360"/>
      </w:pPr>
      <w:rPr>
        <w:rFonts w:ascii="Arial" w:hAnsi="Arial" w:hint="default"/>
      </w:rPr>
    </w:lvl>
    <w:lvl w:ilvl="8" w:tplc="BEB248F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340CF3"/>
    <w:multiLevelType w:val="hybridMultilevel"/>
    <w:tmpl w:val="EFA2D9AE"/>
    <w:lvl w:ilvl="0" w:tplc="97DEA6DA">
      <w:start w:val="1"/>
      <w:numFmt w:val="bullet"/>
      <w:lvlText w:val="•"/>
      <w:lvlJc w:val="left"/>
      <w:pPr>
        <w:tabs>
          <w:tab w:val="num" w:pos="720"/>
        </w:tabs>
        <w:ind w:left="720" w:hanging="360"/>
      </w:pPr>
      <w:rPr>
        <w:rFonts w:ascii="Arial" w:hAnsi="Arial" w:hint="default"/>
      </w:rPr>
    </w:lvl>
    <w:lvl w:ilvl="1" w:tplc="914EC184" w:tentative="1">
      <w:start w:val="1"/>
      <w:numFmt w:val="bullet"/>
      <w:lvlText w:val="•"/>
      <w:lvlJc w:val="left"/>
      <w:pPr>
        <w:tabs>
          <w:tab w:val="num" w:pos="1440"/>
        </w:tabs>
        <w:ind w:left="1440" w:hanging="360"/>
      </w:pPr>
      <w:rPr>
        <w:rFonts w:ascii="Arial" w:hAnsi="Arial" w:hint="default"/>
      </w:rPr>
    </w:lvl>
    <w:lvl w:ilvl="2" w:tplc="81DA01CE" w:tentative="1">
      <w:start w:val="1"/>
      <w:numFmt w:val="bullet"/>
      <w:lvlText w:val="•"/>
      <w:lvlJc w:val="left"/>
      <w:pPr>
        <w:tabs>
          <w:tab w:val="num" w:pos="2160"/>
        </w:tabs>
        <w:ind w:left="2160" w:hanging="360"/>
      </w:pPr>
      <w:rPr>
        <w:rFonts w:ascii="Arial" w:hAnsi="Arial" w:hint="default"/>
      </w:rPr>
    </w:lvl>
    <w:lvl w:ilvl="3" w:tplc="9DE0474C" w:tentative="1">
      <w:start w:val="1"/>
      <w:numFmt w:val="bullet"/>
      <w:lvlText w:val="•"/>
      <w:lvlJc w:val="left"/>
      <w:pPr>
        <w:tabs>
          <w:tab w:val="num" w:pos="2880"/>
        </w:tabs>
        <w:ind w:left="2880" w:hanging="360"/>
      </w:pPr>
      <w:rPr>
        <w:rFonts w:ascii="Arial" w:hAnsi="Arial" w:hint="default"/>
      </w:rPr>
    </w:lvl>
    <w:lvl w:ilvl="4" w:tplc="A3662FB8" w:tentative="1">
      <w:start w:val="1"/>
      <w:numFmt w:val="bullet"/>
      <w:lvlText w:val="•"/>
      <w:lvlJc w:val="left"/>
      <w:pPr>
        <w:tabs>
          <w:tab w:val="num" w:pos="3600"/>
        </w:tabs>
        <w:ind w:left="3600" w:hanging="360"/>
      </w:pPr>
      <w:rPr>
        <w:rFonts w:ascii="Arial" w:hAnsi="Arial" w:hint="default"/>
      </w:rPr>
    </w:lvl>
    <w:lvl w:ilvl="5" w:tplc="28081A5E" w:tentative="1">
      <w:start w:val="1"/>
      <w:numFmt w:val="bullet"/>
      <w:lvlText w:val="•"/>
      <w:lvlJc w:val="left"/>
      <w:pPr>
        <w:tabs>
          <w:tab w:val="num" w:pos="4320"/>
        </w:tabs>
        <w:ind w:left="4320" w:hanging="360"/>
      </w:pPr>
      <w:rPr>
        <w:rFonts w:ascii="Arial" w:hAnsi="Arial" w:hint="default"/>
      </w:rPr>
    </w:lvl>
    <w:lvl w:ilvl="6" w:tplc="E1D8B2D6" w:tentative="1">
      <w:start w:val="1"/>
      <w:numFmt w:val="bullet"/>
      <w:lvlText w:val="•"/>
      <w:lvlJc w:val="left"/>
      <w:pPr>
        <w:tabs>
          <w:tab w:val="num" w:pos="5040"/>
        </w:tabs>
        <w:ind w:left="5040" w:hanging="360"/>
      </w:pPr>
      <w:rPr>
        <w:rFonts w:ascii="Arial" w:hAnsi="Arial" w:hint="default"/>
      </w:rPr>
    </w:lvl>
    <w:lvl w:ilvl="7" w:tplc="2E76ACDA" w:tentative="1">
      <w:start w:val="1"/>
      <w:numFmt w:val="bullet"/>
      <w:lvlText w:val="•"/>
      <w:lvlJc w:val="left"/>
      <w:pPr>
        <w:tabs>
          <w:tab w:val="num" w:pos="5760"/>
        </w:tabs>
        <w:ind w:left="5760" w:hanging="360"/>
      </w:pPr>
      <w:rPr>
        <w:rFonts w:ascii="Arial" w:hAnsi="Arial" w:hint="default"/>
      </w:rPr>
    </w:lvl>
    <w:lvl w:ilvl="8" w:tplc="93FC96A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6278B7"/>
    <w:multiLevelType w:val="hybridMultilevel"/>
    <w:tmpl w:val="8C38DA18"/>
    <w:lvl w:ilvl="0" w:tplc="4910674A">
      <w:start w:val="1"/>
      <w:numFmt w:val="bullet"/>
      <w:lvlText w:val="•"/>
      <w:lvlJc w:val="left"/>
      <w:pPr>
        <w:tabs>
          <w:tab w:val="num" w:pos="720"/>
        </w:tabs>
        <w:ind w:left="720" w:hanging="360"/>
      </w:pPr>
      <w:rPr>
        <w:rFonts w:ascii="Arial" w:hAnsi="Arial" w:hint="default"/>
      </w:rPr>
    </w:lvl>
    <w:lvl w:ilvl="1" w:tplc="2196F81C" w:tentative="1">
      <w:start w:val="1"/>
      <w:numFmt w:val="bullet"/>
      <w:lvlText w:val="•"/>
      <w:lvlJc w:val="left"/>
      <w:pPr>
        <w:tabs>
          <w:tab w:val="num" w:pos="1440"/>
        </w:tabs>
        <w:ind w:left="1440" w:hanging="360"/>
      </w:pPr>
      <w:rPr>
        <w:rFonts w:ascii="Arial" w:hAnsi="Arial" w:hint="default"/>
      </w:rPr>
    </w:lvl>
    <w:lvl w:ilvl="2" w:tplc="090C5A14" w:tentative="1">
      <w:start w:val="1"/>
      <w:numFmt w:val="bullet"/>
      <w:lvlText w:val="•"/>
      <w:lvlJc w:val="left"/>
      <w:pPr>
        <w:tabs>
          <w:tab w:val="num" w:pos="2160"/>
        </w:tabs>
        <w:ind w:left="2160" w:hanging="360"/>
      </w:pPr>
      <w:rPr>
        <w:rFonts w:ascii="Arial" w:hAnsi="Arial" w:hint="default"/>
      </w:rPr>
    </w:lvl>
    <w:lvl w:ilvl="3" w:tplc="3960854C" w:tentative="1">
      <w:start w:val="1"/>
      <w:numFmt w:val="bullet"/>
      <w:lvlText w:val="•"/>
      <w:lvlJc w:val="left"/>
      <w:pPr>
        <w:tabs>
          <w:tab w:val="num" w:pos="2880"/>
        </w:tabs>
        <w:ind w:left="2880" w:hanging="360"/>
      </w:pPr>
      <w:rPr>
        <w:rFonts w:ascii="Arial" w:hAnsi="Arial" w:hint="default"/>
      </w:rPr>
    </w:lvl>
    <w:lvl w:ilvl="4" w:tplc="4858B32C" w:tentative="1">
      <w:start w:val="1"/>
      <w:numFmt w:val="bullet"/>
      <w:lvlText w:val="•"/>
      <w:lvlJc w:val="left"/>
      <w:pPr>
        <w:tabs>
          <w:tab w:val="num" w:pos="3600"/>
        </w:tabs>
        <w:ind w:left="3600" w:hanging="360"/>
      </w:pPr>
      <w:rPr>
        <w:rFonts w:ascii="Arial" w:hAnsi="Arial" w:hint="default"/>
      </w:rPr>
    </w:lvl>
    <w:lvl w:ilvl="5" w:tplc="296C6DEC" w:tentative="1">
      <w:start w:val="1"/>
      <w:numFmt w:val="bullet"/>
      <w:lvlText w:val="•"/>
      <w:lvlJc w:val="left"/>
      <w:pPr>
        <w:tabs>
          <w:tab w:val="num" w:pos="4320"/>
        </w:tabs>
        <w:ind w:left="4320" w:hanging="360"/>
      </w:pPr>
      <w:rPr>
        <w:rFonts w:ascii="Arial" w:hAnsi="Arial" w:hint="default"/>
      </w:rPr>
    </w:lvl>
    <w:lvl w:ilvl="6" w:tplc="6B946C80" w:tentative="1">
      <w:start w:val="1"/>
      <w:numFmt w:val="bullet"/>
      <w:lvlText w:val="•"/>
      <w:lvlJc w:val="left"/>
      <w:pPr>
        <w:tabs>
          <w:tab w:val="num" w:pos="5040"/>
        </w:tabs>
        <w:ind w:left="5040" w:hanging="360"/>
      </w:pPr>
      <w:rPr>
        <w:rFonts w:ascii="Arial" w:hAnsi="Arial" w:hint="default"/>
      </w:rPr>
    </w:lvl>
    <w:lvl w:ilvl="7" w:tplc="F3AA89C8" w:tentative="1">
      <w:start w:val="1"/>
      <w:numFmt w:val="bullet"/>
      <w:lvlText w:val="•"/>
      <w:lvlJc w:val="left"/>
      <w:pPr>
        <w:tabs>
          <w:tab w:val="num" w:pos="5760"/>
        </w:tabs>
        <w:ind w:left="5760" w:hanging="360"/>
      </w:pPr>
      <w:rPr>
        <w:rFonts w:ascii="Arial" w:hAnsi="Arial" w:hint="default"/>
      </w:rPr>
    </w:lvl>
    <w:lvl w:ilvl="8" w:tplc="4C06D0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132E47"/>
    <w:multiLevelType w:val="hybridMultilevel"/>
    <w:tmpl w:val="0A00F8FC"/>
    <w:lvl w:ilvl="0" w:tplc="60C617D8">
      <w:start w:val="1"/>
      <w:numFmt w:val="bullet"/>
      <w:lvlText w:val="•"/>
      <w:lvlJc w:val="left"/>
      <w:pPr>
        <w:tabs>
          <w:tab w:val="num" w:pos="720"/>
        </w:tabs>
        <w:ind w:left="720" w:hanging="360"/>
      </w:pPr>
      <w:rPr>
        <w:rFonts w:ascii="Arial" w:hAnsi="Arial" w:hint="default"/>
      </w:rPr>
    </w:lvl>
    <w:lvl w:ilvl="1" w:tplc="105C1F82" w:tentative="1">
      <w:start w:val="1"/>
      <w:numFmt w:val="bullet"/>
      <w:lvlText w:val="•"/>
      <w:lvlJc w:val="left"/>
      <w:pPr>
        <w:tabs>
          <w:tab w:val="num" w:pos="1440"/>
        </w:tabs>
        <w:ind w:left="1440" w:hanging="360"/>
      </w:pPr>
      <w:rPr>
        <w:rFonts w:ascii="Arial" w:hAnsi="Arial" w:hint="default"/>
      </w:rPr>
    </w:lvl>
    <w:lvl w:ilvl="2" w:tplc="3C26DACE" w:tentative="1">
      <w:start w:val="1"/>
      <w:numFmt w:val="bullet"/>
      <w:lvlText w:val="•"/>
      <w:lvlJc w:val="left"/>
      <w:pPr>
        <w:tabs>
          <w:tab w:val="num" w:pos="2160"/>
        </w:tabs>
        <w:ind w:left="2160" w:hanging="360"/>
      </w:pPr>
      <w:rPr>
        <w:rFonts w:ascii="Arial" w:hAnsi="Arial" w:hint="default"/>
      </w:rPr>
    </w:lvl>
    <w:lvl w:ilvl="3" w:tplc="BCE8A49C" w:tentative="1">
      <w:start w:val="1"/>
      <w:numFmt w:val="bullet"/>
      <w:lvlText w:val="•"/>
      <w:lvlJc w:val="left"/>
      <w:pPr>
        <w:tabs>
          <w:tab w:val="num" w:pos="2880"/>
        </w:tabs>
        <w:ind w:left="2880" w:hanging="360"/>
      </w:pPr>
      <w:rPr>
        <w:rFonts w:ascii="Arial" w:hAnsi="Arial" w:hint="default"/>
      </w:rPr>
    </w:lvl>
    <w:lvl w:ilvl="4" w:tplc="A4B41AFC" w:tentative="1">
      <w:start w:val="1"/>
      <w:numFmt w:val="bullet"/>
      <w:lvlText w:val="•"/>
      <w:lvlJc w:val="left"/>
      <w:pPr>
        <w:tabs>
          <w:tab w:val="num" w:pos="3600"/>
        </w:tabs>
        <w:ind w:left="3600" w:hanging="360"/>
      </w:pPr>
      <w:rPr>
        <w:rFonts w:ascii="Arial" w:hAnsi="Arial" w:hint="default"/>
      </w:rPr>
    </w:lvl>
    <w:lvl w:ilvl="5" w:tplc="77FA4136" w:tentative="1">
      <w:start w:val="1"/>
      <w:numFmt w:val="bullet"/>
      <w:lvlText w:val="•"/>
      <w:lvlJc w:val="left"/>
      <w:pPr>
        <w:tabs>
          <w:tab w:val="num" w:pos="4320"/>
        </w:tabs>
        <w:ind w:left="4320" w:hanging="360"/>
      </w:pPr>
      <w:rPr>
        <w:rFonts w:ascii="Arial" w:hAnsi="Arial" w:hint="default"/>
      </w:rPr>
    </w:lvl>
    <w:lvl w:ilvl="6" w:tplc="2C96E4A4" w:tentative="1">
      <w:start w:val="1"/>
      <w:numFmt w:val="bullet"/>
      <w:lvlText w:val="•"/>
      <w:lvlJc w:val="left"/>
      <w:pPr>
        <w:tabs>
          <w:tab w:val="num" w:pos="5040"/>
        </w:tabs>
        <w:ind w:left="5040" w:hanging="360"/>
      </w:pPr>
      <w:rPr>
        <w:rFonts w:ascii="Arial" w:hAnsi="Arial" w:hint="default"/>
      </w:rPr>
    </w:lvl>
    <w:lvl w:ilvl="7" w:tplc="F2DEBD6E" w:tentative="1">
      <w:start w:val="1"/>
      <w:numFmt w:val="bullet"/>
      <w:lvlText w:val="•"/>
      <w:lvlJc w:val="left"/>
      <w:pPr>
        <w:tabs>
          <w:tab w:val="num" w:pos="5760"/>
        </w:tabs>
        <w:ind w:left="5760" w:hanging="360"/>
      </w:pPr>
      <w:rPr>
        <w:rFonts w:ascii="Arial" w:hAnsi="Arial" w:hint="default"/>
      </w:rPr>
    </w:lvl>
    <w:lvl w:ilvl="8" w:tplc="E08AAAD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C12412"/>
    <w:multiLevelType w:val="hybridMultilevel"/>
    <w:tmpl w:val="D94A8198"/>
    <w:lvl w:ilvl="0" w:tplc="0BD40520">
      <w:start w:val="1"/>
      <w:numFmt w:val="bullet"/>
      <w:lvlText w:val="•"/>
      <w:lvlJc w:val="left"/>
      <w:pPr>
        <w:tabs>
          <w:tab w:val="num" w:pos="720"/>
        </w:tabs>
        <w:ind w:left="720" w:hanging="360"/>
      </w:pPr>
      <w:rPr>
        <w:rFonts w:ascii="Arial" w:hAnsi="Arial" w:hint="default"/>
      </w:rPr>
    </w:lvl>
    <w:lvl w:ilvl="1" w:tplc="E496F0A6" w:tentative="1">
      <w:start w:val="1"/>
      <w:numFmt w:val="bullet"/>
      <w:lvlText w:val="•"/>
      <w:lvlJc w:val="left"/>
      <w:pPr>
        <w:tabs>
          <w:tab w:val="num" w:pos="1440"/>
        </w:tabs>
        <w:ind w:left="1440" w:hanging="360"/>
      </w:pPr>
      <w:rPr>
        <w:rFonts w:ascii="Arial" w:hAnsi="Arial" w:hint="default"/>
      </w:rPr>
    </w:lvl>
    <w:lvl w:ilvl="2" w:tplc="D102CD54" w:tentative="1">
      <w:start w:val="1"/>
      <w:numFmt w:val="bullet"/>
      <w:lvlText w:val="•"/>
      <w:lvlJc w:val="left"/>
      <w:pPr>
        <w:tabs>
          <w:tab w:val="num" w:pos="2160"/>
        </w:tabs>
        <w:ind w:left="2160" w:hanging="360"/>
      </w:pPr>
      <w:rPr>
        <w:rFonts w:ascii="Arial" w:hAnsi="Arial" w:hint="default"/>
      </w:rPr>
    </w:lvl>
    <w:lvl w:ilvl="3" w:tplc="9C109144" w:tentative="1">
      <w:start w:val="1"/>
      <w:numFmt w:val="bullet"/>
      <w:lvlText w:val="•"/>
      <w:lvlJc w:val="left"/>
      <w:pPr>
        <w:tabs>
          <w:tab w:val="num" w:pos="2880"/>
        </w:tabs>
        <w:ind w:left="2880" w:hanging="360"/>
      </w:pPr>
      <w:rPr>
        <w:rFonts w:ascii="Arial" w:hAnsi="Arial" w:hint="default"/>
      </w:rPr>
    </w:lvl>
    <w:lvl w:ilvl="4" w:tplc="83003F84" w:tentative="1">
      <w:start w:val="1"/>
      <w:numFmt w:val="bullet"/>
      <w:lvlText w:val="•"/>
      <w:lvlJc w:val="left"/>
      <w:pPr>
        <w:tabs>
          <w:tab w:val="num" w:pos="3600"/>
        </w:tabs>
        <w:ind w:left="3600" w:hanging="360"/>
      </w:pPr>
      <w:rPr>
        <w:rFonts w:ascii="Arial" w:hAnsi="Arial" w:hint="default"/>
      </w:rPr>
    </w:lvl>
    <w:lvl w:ilvl="5" w:tplc="F9CEF1DA" w:tentative="1">
      <w:start w:val="1"/>
      <w:numFmt w:val="bullet"/>
      <w:lvlText w:val="•"/>
      <w:lvlJc w:val="left"/>
      <w:pPr>
        <w:tabs>
          <w:tab w:val="num" w:pos="4320"/>
        </w:tabs>
        <w:ind w:left="4320" w:hanging="360"/>
      </w:pPr>
      <w:rPr>
        <w:rFonts w:ascii="Arial" w:hAnsi="Arial" w:hint="default"/>
      </w:rPr>
    </w:lvl>
    <w:lvl w:ilvl="6" w:tplc="DD4E74A6" w:tentative="1">
      <w:start w:val="1"/>
      <w:numFmt w:val="bullet"/>
      <w:lvlText w:val="•"/>
      <w:lvlJc w:val="left"/>
      <w:pPr>
        <w:tabs>
          <w:tab w:val="num" w:pos="5040"/>
        </w:tabs>
        <w:ind w:left="5040" w:hanging="360"/>
      </w:pPr>
      <w:rPr>
        <w:rFonts w:ascii="Arial" w:hAnsi="Arial" w:hint="default"/>
      </w:rPr>
    </w:lvl>
    <w:lvl w:ilvl="7" w:tplc="91C259BC" w:tentative="1">
      <w:start w:val="1"/>
      <w:numFmt w:val="bullet"/>
      <w:lvlText w:val="•"/>
      <w:lvlJc w:val="left"/>
      <w:pPr>
        <w:tabs>
          <w:tab w:val="num" w:pos="5760"/>
        </w:tabs>
        <w:ind w:left="5760" w:hanging="360"/>
      </w:pPr>
      <w:rPr>
        <w:rFonts w:ascii="Arial" w:hAnsi="Arial" w:hint="default"/>
      </w:rPr>
    </w:lvl>
    <w:lvl w:ilvl="8" w:tplc="F166795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BA3A34"/>
    <w:multiLevelType w:val="hybridMultilevel"/>
    <w:tmpl w:val="3AD4417E"/>
    <w:lvl w:ilvl="0" w:tplc="F50C5796">
      <w:start w:val="1"/>
      <w:numFmt w:val="bullet"/>
      <w:lvlText w:val="•"/>
      <w:lvlJc w:val="left"/>
      <w:pPr>
        <w:tabs>
          <w:tab w:val="num" w:pos="720"/>
        </w:tabs>
        <w:ind w:left="720" w:hanging="360"/>
      </w:pPr>
      <w:rPr>
        <w:rFonts w:ascii="Arial" w:hAnsi="Arial" w:hint="default"/>
      </w:rPr>
    </w:lvl>
    <w:lvl w:ilvl="1" w:tplc="99D4E364" w:tentative="1">
      <w:start w:val="1"/>
      <w:numFmt w:val="bullet"/>
      <w:lvlText w:val="•"/>
      <w:lvlJc w:val="left"/>
      <w:pPr>
        <w:tabs>
          <w:tab w:val="num" w:pos="1440"/>
        </w:tabs>
        <w:ind w:left="1440" w:hanging="360"/>
      </w:pPr>
      <w:rPr>
        <w:rFonts w:ascii="Arial" w:hAnsi="Arial" w:hint="default"/>
      </w:rPr>
    </w:lvl>
    <w:lvl w:ilvl="2" w:tplc="3912E092" w:tentative="1">
      <w:start w:val="1"/>
      <w:numFmt w:val="bullet"/>
      <w:lvlText w:val="•"/>
      <w:lvlJc w:val="left"/>
      <w:pPr>
        <w:tabs>
          <w:tab w:val="num" w:pos="2160"/>
        </w:tabs>
        <w:ind w:left="2160" w:hanging="360"/>
      </w:pPr>
      <w:rPr>
        <w:rFonts w:ascii="Arial" w:hAnsi="Arial" w:hint="default"/>
      </w:rPr>
    </w:lvl>
    <w:lvl w:ilvl="3" w:tplc="C09A4BE6" w:tentative="1">
      <w:start w:val="1"/>
      <w:numFmt w:val="bullet"/>
      <w:lvlText w:val="•"/>
      <w:lvlJc w:val="left"/>
      <w:pPr>
        <w:tabs>
          <w:tab w:val="num" w:pos="2880"/>
        </w:tabs>
        <w:ind w:left="2880" w:hanging="360"/>
      </w:pPr>
      <w:rPr>
        <w:rFonts w:ascii="Arial" w:hAnsi="Arial" w:hint="default"/>
      </w:rPr>
    </w:lvl>
    <w:lvl w:ilvl="4" w:tplc="24205EA4" w:tentative="1">
      <w:start w:val="1"/>
      <w:numFmt w:val="bullet"/>
      <w:lvlText w:val="•"/>
      <w:lvlJc w:val="left"/>
      <w:pPr>
        <w:tabs>
          <w:tab w:val="num" w:pos="3600"/>
        </w:tabs>
        <w:ind w:left="3600" w:hanging="360"/>
      </w:pPr>
      <w:rPr>
        <w:rFonts w:ascii="Arial" w:hAnsi="Arial" w:hint="default"/>
      </w:rPr>
    </w:lvl>
    <w:lvl w:ilvl="5" w:tplc="3EC2114A" w:tentative="1">
      <w:start w:val="1"/>
      <w:numFmt w:val="bullet"/>
      <w:lvlText w:val="•"/>
      <w:lvlJc w:val="left"/>
      <w:pPr>
        <w:tabs>
          <w:tab w:val="num" w:pos="4320"/>
        </w:tabs>
        <w:ind w:left="4320" w:hanging="360"/>
      </w:pPr>
      <w:rPr>
        <w:rFonts w:ascii="Arial" w:hAnsi="Arial" w:hint="default"/>
      </w:rPr>
    </w:lvl>
    <w:lvl w:ilvl="6" w:tplc="C3D2DFBE" w:tentative="1">
      <w:start w:val="1"/>
      <w:numFmt w:val="bullet"/>
      <w:lvlText w:val="•"/>
      <w:lvlJc w:val="left"/>
      <w:pPr>
        <w:tabs>
          <w:tab w:val="num" w:pos="5040"/>
        </w:tabs>
        <w:ind w:left="5040" w:hanging="360"/>
      </w:pPr>
      <w:rPr>
        <w:rFonts w:ascii="Arial" w:hAnsi="Arial" w:hint="default"/>
      </w:rPr>
    </w:lvl>
    <w:lvl w:ilvl="7" w:tplc="17AA2CD4" w:tentative="1">
      <w:start w:val="1"/>
      <w:numFmt w:val="bullet"/>
      <w:lvlText w:val="•"/>
      <w:lvlJc w:val="left"/>
      <w:pPr>
        <w:tabs>
          <w:tab w:val="num" w:pos="5760"/>
        </w:tabs>
        <w:ind w:left="5760" w:hanging="360"/>
      </w:pPr>
      <w:rPr>
        <w:rFonts w:ascii="Arial" w:hAnsi="Arial" w:hint="default"/>
      </w:rPr>
    </w:lvl>
    <w:lvl w:ilvl="8" w:tplc="40F66C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0F62C1"/>
    <w:multiLevelType w:val="hybridMultilevel"/>
    <w:tmpl w:val="8D080184"/>
    <w:lvl w:ilvl="0" w:tplc="8AC676D8">
      <w:start w:val="1"/>
      <w:numFmt w:val="bullet"/>
      <w:lvlText w:val="•"/>
      <w:lvlJc w:val="left"/>
      <w:pPr>
        <w:tabs>
          <w:tab w:val="num" w:pos="720"/>
        </w:tabs>
        <w:ind w:left="720" w:hanging="360"/>
      </w:pPr>
      <w:rPr>
        <w:rFonts w:ascii="Arial" w:hAnsi="Arial" w:hint="default"/>
      </w:rPr>
    </w:lvl>
    <w:lvl w:ilvl="1" w:tplc="9AE4C7CA" w:tentative="1">
      <w:start w:val="1"/>
      <w:numFmt w:val="bullet"/>
      <w:lvlText w:val="•"/>
      <w:lvlJc w:val="left"/>
      <w:pPr>
        <w:tabs>
          <w:tab w:val="num" w:pos="1440"/>
        </w:tabs>
        <w:ind w:left="1440" w:hanging="360"/>
      </w:pPr>
      <w:rPr>
        <w:rFonts w:ascii="Arial" w:hAnsi="Arial" w:hint="default"/>
      </w:rPr>
    </w:lvl>
    <w:lvl w:ilvl="2" w:tplc="42EE00F4" w:tentative="1">
      <w:start w:val="1"/>
      <w:numFmt w:val="bullet"/>
      <w:lvlText w:val="•"/>
      <w:lvlJc w:val="left"/>
      <w:pPr>
        <w:tabs>
          <w:tab w:val="num" w:pos="2160"/>
        </w:tabs>
        <w:ind w:left="2160" w:hanging="360"/>
      </w:pPr>
      <w:rPr>
        <w:rFonts w:ascii="Arial" w:hAnsi="Arial" w:hint="default"/>
      </w:rPr>
    </w:lvl>
    <w:lvl w:ilvl="3" w:tplc="F648EE46" w:tentative="1">
      <w:start w:val="1"/>
      <w:numFmt w:val="bullet"/>
      <w:lvlText w:val="•"/>
      <w:lvlJc w:val="left"/>
      <w:pPr>
        <w:tabs>
          <w:tab w:val="num" w:pos="2880"/>
        </w:tabs>
        <w:ind w:left="2880" w:hanging="360"/>
      </w:pPr>
      <w:rPr>
        <w:rFonts w:ascii="Arial" w:hAnsi="Arial" w:hint="default"/>
      </w:rPr>
    </w:lvl>
    <w:lvl w:ilvl="4" w:tplc="AB4C2182" w:tentative="1">
      <w:start w:val="1"/>
      <w:numFmt w:val="bullet"/>
      <w:lvlText w:val="•"/>
      <w:lvlJc w:val="left"/>
      <w:pPr>
        <w:tabs>
          <w:tab w:val="num" w:pos="3600"/>
        </w:tabs>
        <w:ind w:left="3600" w:hanging="360"/>
      </w:pPr>
      <w:rPr>
        <w:rFonts w:ascii="Arial" w:hAnsi="Arial" w:hint="default"/>
      </w:rPr>
    </w:lvl>
    <w:lvl w:ilvl="5" w:tplc="F90018F2" w:tentative="1">
      <w:start w:val="1"/>
      <w:numFmt w:val="bullet"/>
      <w:lvlText w:val="•"/>
      <w:lvlJc w:val="left"/>
      <w:pPr>
        <w:tabs>
          <w:tab w:val="num" w:pos="4320"/>
        </w:tabs>
        <w:ind w:left="4320" w:hanging="360"/>
      </w:pPr>
      <w:rPr>
        <w:rFonts w:ascii="Arial" w:hAnsi="Arial" w:hint="default"/>
      </w:rPr>
    </w:lvl>
    <w:lvl w:ilvl="6" w:tplc="67FEE398" w:tentative="1">
      <w:start w:val="1"/>
      <w:numFmt w:val="bullet"/>
      <w:lvlText w:val="•"/>
      <w:lvlJc w:val="left"/>
      <w:pPr>
        <w:tabs>
          <w:tab w:val="num" w:pos="5040"/>
        </w:tabs>
        <w:ind w:left="5040" w:hanging="360"/>
      </w:pPr>
      <w:rPr>
        <w:rFonts w:ascii="Arial" w:hAnsi="Arial" w:hint="default"/>
      </w:rPr>
    </w:lvl>
    <w:lvl w:ilvl="7" w:tplc="00D2DEAA" w:tentative="1">
      <w:start w:val="1"/>
      <w:numFmt w:val="bullet"/>
      <w:lvlText w:val="•"/>
      <w:lvlJc w:val="left"/>
      <w:pPr>
        <w:tabs>
          <w:tab w:val="num" w:pos="5760"/>
        </w:tabs>
        <w:ind w:left="5760" w:hanging="360"/>
      </w:pPr>
      <w:rPr>
        <w:rFonts w:ascii="Arial" w:hAnsi="Arial" w:hint="default"/>
      </w:rPr>
    </w:lvl>
    <w:lvl w:ilvl="8" w:tplc="B404859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0C1C32"/>
    <w:multiLevelType w:val="hybridMultilevel"/>
    <w:tmpl w:val="D228F730"/>
    <w:lvl w:ilvl="0" w:tplc="ABB02D64">
      <w:start w:val="1"/>
      <w:numFmt w:val="bullet"/>
      <w:lvlText w:val="•"/>
      <w:lvlJc w:val="left"/>
      <w:pPr>
        <w:tabs>
          <w:tab w:val="num" w:pos="720"/>
        </w:tabs>
        <w:ind w:left="720" w:hanging="360"/>
      </w:pPr>
      <w:rPr>
        <w:rFonts w:ascii="Arial" w:hAnsi="Arial" w:hint="default"/>
      </w:rPr>
    </w:lvl>
    <w:lvl w:ilvl="1" w:tplc="DC960292" w:tentative="1">
      <w:start w:val="1"/>
      <w:numFmt w:val="bullet"/>
      <w:lvlText w:val="•"/>
      <w:lvlJc w:val="left"/>
      <w:pPr>
        <w:tabs>
          <w:tab w:val="num" w:pos="1440"/>
        </w:tabs>
        <w:ind w:left="1440" w:hanging="360"/>
      </w:pPr>
      <w:rPr>
        <w:rFonts w:ascii="Arial" w:hAnsi="Arial" w:hint="default"/>
      </w:rPr>
    </w:lvl>
    <w:lvl w:ilvl="2" w:tplc="0EDA4876" w:tentative="1">
      <w:start w:val="1"/>
      <w:numFmt w:val="bullet"/>
      <w:lvlText w:val="•"/>
      <w:lvlJc w:val="left"/>
      <w:pPr>
        <w:tabs>
          <w:tab w:val="num" w:pos="2160"/>
        </w:tabs>
        <w:ind w:left="2160" w:hanging="360"/>
      </w:pPr>
      <w:rPr>
        <w:rFonts w:ascii="Arial" w:hAnsi="Arial" w:hint="default"/>
      </w:rPr>
    </w:lvl>
    <w:lvl w:ilvl="3" w:tplc="5202A250" w:tentative="1">
      <w:start w:val="1"/>
      <w:numFmt w:val="bullet"/>
      <w:lvlText w:val="•"/>
      <w:lvlJc w:val="left"/>
      <w:pPr>
        <w:tabs>
          <w:tab w:val="num" w:pos="2880"/>
        </w:tabs>
        <w:ind w:left="2880" w:hanging="360"/>
      </w:pPr>
      <w:rPr>
        <w:rFonts w:ascii="Arial" w:hAnsi="Arial" w:hint="default"/>
      </w:rPr>
    </w:lvl>
    <w:lvl w:ilvl="4" w:tplc="50CE4688" w:tentative="1">
      <w:start w:val="1"/>
      <w:numFmt w:val="bullet"/>
      <w:lvlText w:val="•"/>
      <w:lvlJc w:val="left"/>
      <w:pPr>
        <w:tabs>
          <w:tab w:val="num" w:pos="3600"/>
        </w:tabs>
        <w:ind w:left="3600" w:hanging="360"/>
      </w:pPr>
      <w:rPr>
        <w:rFonts w:ascii="Arial" w:hAnsi="Arial" w:hint="default"/>
      </w:rPr>
    </w:lvl>
    <w:lvl w:ilvl="5" w:tplc="65943ED0" w:tentative="1">
      <w:start w:val="1"/>
      <w:numFmt w:val="bullet"/>
      <w:lvlText w:val="•"/>
      <w:lvlJc w:val="left"/>
      <w:pPr>
        <w:tabs>
          <w:tab w:val="num" w:pos="4320"/>
        </w:tabs>
        <w:ind w:left="4320" w:hanging="360"/>
      </w:pPr>
      <w:rPr>
        <w:rFonts w:ascii="Arial" w:hAnsi="Arial" w:hint="default"/>
      </w:rPr>
    </w:lvl>
    <w:lvl w:ilvl="6" w:tplc="3C6C54CC" w:tentative="1">
      <w:start w:val="1"/>
      <w:numFmt w:val="bullet"/>
      <w:lvlText w:val="•"/>
      <w:lvlJc w:val="left"/>
      <w:pPr>
        <w:tabs>
          <w:tab w:val="num" w:pos="5040"/>
        </w:tabs>
        <w:ind w:left="5040" w:hanging="360"/>
      </w:pPr>
      <w:rPr>
        <w:rFonts w:ascii="Arial" w:hAnsi="Arial" w:hint="default"/>
      </w:rPr>
    </w:lvl>
    <w:lvl w:ilvl="7" w:tplc="AB7A147C" w:tentative="1">
      <w:start w:val="1"/>
      <w:numFmt w:val="bullet"/>
      <w:lvlText w:val="•"/>
      <w:lvlJc w:val="left"/>
      <w:pPr>
        <w:tabs>
          <w:tab w:val="num" w:pos="5760"/>
        </w:tabs>
        <w:ind w:left="5760" w:hanging="360"/>
      </w:pPr>
      <w:rPr>
        <w:rFonts w:ascii="Arial" w:hAnsi="Arial" w:hint="default"/>
      </w:rPr>
    </w:lvl>
    <w:lvl w:ilvl="8" w:tplc="40D45DC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F88282A"/>
    <w:multiLevelType w:val="hybridMultilevel"/>
    <w:tmpl w:val="2266F1C4"/>
    <w:lvl w:ilvl="0" w:tplc="9300DBCE">
      <w:start w:val="1"/>
      <w:numFmt w:val="bullet"/>
      <w:lvlText w:val="•"/>
      <w:lvlJc w:val="left"/>
      <w:pPr>
        <w:tabs>
          <w:tab w:val="num" w:pos="720"/>
        </w:tabs>
        <w:ind w:left="720" w:hanging="360"/>
      </w:pPr>
      <w:rPr>
        <w:rFonts w:ascii="Arial" w:hAnsi="Arial" w:hint="default"/>
      </w:rPr>
    </w:lvl>
    <w:lvl w:ilvl="1" w:tplc="14B83254" w:tentative="1">
      <w:start w:val="1"/>
      <w:numFmt w:val="bullet"/>
      <w:lvlText w:val="•"/>
      <w:lvlJc w:val="left"/>
      <w:pPr>
        <w:tabs>
          <w:tab w:val="num" w:pos="1440"/>
        </w:tabs>
        <w:ind w:left="1440" w:hanging="360"/>
      </w:pPr>
      <w:rPr>
        <w:rFonts w:ascii="Arial" w:hAnsi="Arial" w:hint="default"/>
      </w:rPr>
    </w:lvl>
    <w:lvl w:ilvl="2" w:tplc="5106BE54" w:tentative="1">
      <w:start w:val="1"/>
      <w:numFmt w:val="bullet"/>
      <w:lvlText w:val="•"/>
      <w:lvlJc w:val="left"/>
      <w:pPr>
        <w:tabs>
          <w:tab w:val="num" w:pos="2160"/>
        </w:tabs>
        <w:ind w:left="2160" w:hanging="360"/>
      </w:pPr>
      <w:rPr>
        <w:rFonts w:ascii="Arial" w:hAnsi="Arial" w:hint="default"/>
      </w:rPr>
    </w:lvl>
    <w:lvl w:ilvl="3" w:tplc="120A6090" w:tentative="1">
      <w:start w:val="1"/>
      <w:numFmt w:val="bullet"/>
      <w:lvlText w:val="•"/>
      <w:lvlJc w:val="left"/>
      <w:pPr>
        <w:tabs>
          <w:tab w:val="num" w:pos="2880"/>
        </w:tabs>
        <w:ind w:left="2880" w:hanging="360"/>
      </w:pPr>
      <w:rPr>
        <w:rFonts w:ascii="Arial" w:hAnsi="Arial" w:hint="default"/>
      </w:rPr>
    </w:lvl>
    <w:lvl w:ilvl="4" w:tplc="D9ECD522" w:tentative="1">
      <w:start w:val="1"/>
      <w:numFmt w:val="bullet"/>
      <w:lvlText w:val="•"/>
      <w:lvlJc w:val="left"/>
      <w:pPr>
        <w:tabs>
          <w:tab w:val="num" w:pos="3600"/>
        </w:tabs>
        <w:ind w:left="3600" w:hanging="360"/>
      </w:pPr>
      <w:rPr>
        <w:rFonts w:ascii="Arial" w:hAnsi="Arial" w:hint="default"/>
      </w:rPr>
    </w:lvl>
    <w:lvl w:ilvl="5" w:tplc="2460D23E" w:tentative="1">
      <w:start w:val="1"/>
      <w:numFmt w:val="bullet"/>
      <w:lvlText w:val="•"/>
      <w:lvlJc w:val="left"/>
      <w:pPr>
        <w:tabs>
          <w:tab w:val="num" w:pos="4320"/>
        </w:tabs>
        <w:ind w:left="4320" w:hanging="360"/>
      </w:pPr>
      <w:rPr>
        <w:rFonts w:ascii="Arial" w:hAnsi="Arial" w:hint="default"/>
      </w:rPr>
    </w:lvl>
    <w:lvl w:ilvl="6" w:tplc="2CB6B456" w:tentative="1">
      <w:start w:val="1"/>
      <w:numFmt w:val="bullet"/>
      <w:lvlText w:val="•"/>
      <w:lvlJc w:val="left"/>
      <w:pPr>
        <w:tabs>
          <w:tab w:val="num" w:pos="5040"/>
        </w:tabs>
        <w:ind w:left="5040" w:hanging="360"/>
      </w:pPr>
      <w:rPr>
        <w:rFonts w:ascii="Arial" w:hAnsi="Arial" w:hint="default"/>
      </w:rPr>
    </w:lvl>
    <w:lvl w:ilvl="7" w:tplc="C18E1AC2" w:tentative="1">
      <w:start w:val="1"/>
      <w:numFmt w:val="bullet"/>
      <w:lvlText w:val="•"/>
      <w:lvlJc w:val="left"/>
      <w:pPr>
        <w:tabs>
          <w:tab w:val="num" w:pos="5760"/>
        </w:tabs>
        <w:ind w:left="5760" w:hanging="360"/>
      </w:pPr>
      <w:rPr>
        <w:rFonts w:ascii="Arial" w:hAnsi="Arial" w:hint="default"/>
      </w:rPr>
    </w:lvl>
    <w:lvl w:ilvl="8" w:tplc="D2DE472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0450A64"/>
    <w:multiLevelType w:val="hybridMultilevel"/>
    <w:tmpl w:val="7DF0C9E6"/>
    <w:lvl w:ilvl="0" w:tplc="0CFEC17C">
      <w:start w:val="1"/>
      <w:numFmt w:val="bullet"/>
      <w:lvlText w:val="•"/>
      <w:lvlJc w:val="left"/>
      <w:pPr>
        <w:tabs>
          <w:tab w:val="num" w:pos="720"/>
        </w:tabs>
        <w:ind w:left="720" w:hanging="360"/>
      </w:pPr>
      <w:rPr>
        <w:rFonts w:ascii="Arial" w:hAnsi="Arial" w:hint="default"/>
      </w:rPr>
    </w:lvl>
    <w:lvl w:ilvl="1" w:tplc="633665CA" w:tentative="1">
      <w:start w:val="1"/>
      <w:numFmt w:val="bullet"/>
      <w:lvlText w:val="•"/>
      <w:lvlJc w:val="left"/>
      <w:pPr>
        <w:tabs>
          <w:tab w:val="num" w:pos="1440"/>
        </w:tabs>
        <w:ind w:left="1440" w:hanging="360"/>
      </w:pPr>
      <w:rPr>
        <w:rFonts w:ascii="Arial" w:hAnsi="Arial" w:hint="default"/>
      </w:rPr>
    </w:lvl>
    <w:lvl w:ilvl="2" w:tplc="82125FF6" w:tentative="1">
      <w:start w:val="1"/>
      <w:numFmt w:val="bullet"/>
      <w:lvlText w:val="•"/>
      <w:lvlJc w:val="left"/>
      <w:pPr>
        <w:tabs>
          <w:tab w:val="num" w:pos="2160"/>
        </w:tabs>
        <w:ind w:left="2160" w:hanging="360"/>
      </w:pPr>
      <w:rPr>
        <w:rFonts w:ascii="Arial" w:hAnsi="Arial" w:hint="default"/>
      </w:rPr>
    </w:lvl>
    <w:lvl w:ilvl="3" w:tplc="D61EB3BA" w:tentative="1">
      <w:start w:val="1"/>
      <w:numFmt w:val="bullet"/>
      <w:lvlText w:val="•"/>
      <w:lvlJc w:val="left"/>
      <w:pPr>
        <w:tabs>
          <w:tab w:val="num" w:pos="2880"/>
        </w:tabs>
        <w:ind w:left="2880" w:hanging="360"/>
      </w:pPr>
      <w:rPr>
        <w:rFonts w:ascii="Arial" w:hAnsi="Arial" w:hint="default"/>
      </w:rPr>
    </w:lvl>
    <w:lvl w:ilvl="4" w:tplc="70E68B78" w:tentative="1">
      <w:start w:val="1"/>
      <w:numFmt w:val="bullet"/>
      <w:lvlText w:val="•"/>
      <w:lvlJc w:val="left"/>
      <w:pPr>
        <w:tabs>
          <w:tab w:val="num" w:pos="3600"/>
        </w:tabs>
        <w:ind w:left="3600" w:hanging="360"/>
      </w:pPr>
      <w:rPr>
        <w:rFonts w:ascii="Arial" w:hAnsi="Arial" w:hint="default"/>
      </w:rPr>
    </w:lvl>
    <w:lvl w:ilvl="5" w:tplc="F3F24660" w:tentative="1">
      <w:start w:val="1"/>
      <w:numFmt w:val="bullet"/>
      <w:lvlText w:val="•"/>
      <w:lvlJc w:val="left"/>
      <w:pPr>
        <w:tabs>
          <w:tab w:val="num" w:pos="4320"/>
        </w:tabs>
        <w:ind w:left="4320" w:hanging="360"/>
      </w:pPr>
      <w:rPr>
        <w:rFonts w:ascii="Arial" w:hAnsi="Arial" w:hint="default"/>
      </w:rPr>
    </w:lvl>
    <w:lvl w:ilvl="6" w:tplc="667E8D6A" w:tentative="1">
      <w:start w:val="1"/>
      <w:numFmt w:val="bullet"/>
      <w:lvlText w:val="•"/>
      <w:lvlJc w:val="left"/>
      <w:pPr>
        <w:tabs>
          <w:tab w:val="num" w:pos="5040"/>
        </w:tabs>
        <w:ind w:left="5040" w:hanging="360"/>
      </w:pPr>
      <w:rPr>
        <w:rFonts w:ascii="Arial" w:hAnsi="Arial" w:hint="default"/>
      </w:rPr>
    </w:lvl>
    <w:lvl w:ilvl="7" w:tplc="8C4A6680" w:tentative="1">
      <w:start w:val="1"/>
      <w:numFmt w:val="bullet"/>
      <w:lvlText w:val="•"/>
      <w:lvlJc w:val="left"/>
      <w:pPr>
        <w:tabs>
          <w:tab w:val="num" w:pos="5760"/>
        </w:tabs>
        <w:ind w:left="5760" w:hanging="360"/>
      </w:pPr>
      <w:rPr>
        <w:rFonts w:ascii="Arial" w:hAnsi="Arial" w:hint="default"/>
      </w:rPr>
    </w:lvl>
    <w:lvl w:ilvl="8" w:tplc="9B1E57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0F72799"/>
    <w:multiLevelType w:val="hybridMultilevel"/>
    <w:tmpl w:val="893AFCA0"/>
    <w:lvl w:ilvl="0" w:tplc="148ED11C">
      <w:start w:val="1"/>
      <w:numFmt w:val="bullet"/>
      <w:lvlText w:val="•"/>
      <w:lvlJc w:val="left"/>
      <w:pPr>
        <w:tabs>
          <w:tab w:val="num" w:pos="720"/>
        </w:tabs>
        <w:ind w:left="720" w:hanging="360"/>
      </w:pPr>
      <w:rPr>
        <w:rFonts w:ascii="Arial" w:hAnsi="Arial" w:hint="default"/>
      </w:rPr>
    </w:lvl>
    <w:lvl w:ilvl="1" w:tplc="AE80E69C" w:tentative="1">
      <w:start w:val="1"/>
      <w:numFmt w:val="bullet"/>
      <w:lvlText w:val="•"/>
      <w:lvlJc w:val="left"/>
      <w:pPr>
        <w:tabs>
          <w:tab w:val="num" w:pos="1440"/>
        </w:tabs>
        <w:ind w:left="1440" w:hanging="360"/>
      </w:pPr>
      <w:rPr>
        <w:rFonts w:ascii="Arial" w:hAnsi="Arial" w:hint="default"/>
      </w:rPr>
    </w:lvl>
    <w:lvl w:ilvl="2" w:tplc="92E4C53C" w:tentative="1">
      <w:start w:val="1"/>
      <w:numFmt w:val="bullet"/>
      <w:lvlText w:val="•"/>
      <w:lvlJc w:val="left"/>
      <w:pPr>
        <w:tabs>
          <w:tab w:val="num" w:pos="2160"/>
        </w:tabs>
        <w:ind w:left="2160" w:hanging="360"/>
      </w:pPr>
      <w:rPr>
        <w:rFonts w:ascii="Arial" w:hAnsi="Arial" w:hint="default"/>
      </w:rPr>
    </w:lvl>
    <w:lvl w:ilvl="3" w:tplc="3BFCC12E" w:tentative="1">
      <w:start w:val="1"/>
      <w:numFmt w:val="bullet"/>
      <w:lvlText w:val="•"/>
      <w:lvlJc w:val="left"/>
      <w:pPr>
        <w:tabs>
          <w:tab w:val="num" w:pos="2880"/>
        </w:tabs>
        <w:ind w:left="2880" w:hanging="360"/>
      </w:pPr>
      <w:rPr>
        <w:rFonts w:ascii="Arial" w:hAnsi="Arial" w:hint="default"/>
      </w:rPr>
    </w:lvl>
    <w:lvl w:ilvl="4" w:tplc="7CD446E4" w:tentative="1">
      <w:start w:val="1"/>
      <w:numFmt w:val="bullet"/>
      <w:lvlText w:val="•"/>
      <w:lvlJc w:val="left"/>
      <w:pPr>
        <w:tabs>
          <w:tab w:val="num" w:pos="3600"/>
        </w:tabs>
        <w:ind w:left="3600" w:hanging="360"/>
      </w:pPr>
      <w:rPr>
        <w:rFonts w:ascii="Arial" w:hAnsi="Arial" w:hint="default"/>
      </w:rPr>
    </w:lvl>
    <w:lvl w:ilvl="5" w:tplc="24205A80" w:tentative="1">
      <w:start w:val="1"/>
      <w:numFmt w:val="bullet"/>
      <w:lvlText w:val="•"/>
      <w:lvlJc w:val="left"/>
      <w:pPr>
        <w:tabs>
          <w:tab w:val="num" w:pos="4320"/>
        </w:tabs>
        <w:ind w:left="4320" w:hanging="360"/>
      </w:pPr>
      <w:rPr>
        <w:rFonts w:ascii="Arial" w:hAnsi="Arial" w:hint="default"/>
      </w:rPr>
    </w:lvl>
    <w:lvl w:ilvl="6" w:tplc="7390D174" w:tentative="1">
      <w:start w:val="1"/>
      <w:numFmt w:val="bullet"/>
      <w:lvlText w:val="•"/>
      <w:lvlJc w:val="left"/>
      <w:pPr>
        <w:tabs>
          <w:tab w:val="num" w:pos="5040"/>
        </w:tabs>
        <w:ind w:left="5040" w:hanging="360"/>
      </w:pPr>
      <w:rPr>
        <w:rFonts w:ascii="Arial" w:hAnsi="Arial" w:hint="default"/>
      </w:rPr>
    </w:lvl>
    <w:lvl w:ilvl="7" w:tplc="F2DC7144" w:tentative="1">
      <w:start w:val="1"/>
      <w:numFmt w:val="bullet"/>
      <w:lvlText w:val="•"/>
      <w:lvlJc w:val="left"/>
      <w:pPr>
        <w:tabs>
          <w:tab w:val="num" w:pos="5760"/>
        </w:tabs>
        <w:ind w:left="5760" w:hanging="360"/>
      </w:pPr>
      <w:rPr>
        <w:rFonts w:ascii="Arial" w:hAnsi="Arial" w:hint="default"/>
      </w:rPr>
    </w:lvl>
    <w:lvl w:ilvl="8" w:tplc="B068052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2F6341B"/>
    <w:multiLevelType w:val="hybridMultilevel"/>
    <w:tmpl w:val="43F0A7EC"/>
    <w:lvl w:ilvl="0" w:tplc="7DF8F39C">
      <w:start w:val="1"/>
      <w:numFmt w:val="bullet"/>
      <w:lvlText w:val="•"/>
      <w:lvlJc w:val="left"/>
      <w:pPr>
        <w:tabs>
          <w:tab w:val="num" w:pos="720"/>
        </w:tabs>
        <w:ind w:left="720" w:hanging="360"/>
      </w:pPr>
      <w:rPr>
        <w:rFonts w:ascii="Arial" w:hAnsi="Arial" w:hint="default"/>
      </w:rPr>
    </w:lvl>
    <w:lvl w:ilvl="1" w:tplc="5BA07716" w:tentative="1">
      <w:start w:val="1"/>
      <w:numFmt w:val="bullet"/>
      <w:lvlText w:val="•"/>
      <w:lvlJc w:val="left"/>
      <w:pPr>
        <w:tabs>
          <w:tab w:val="num" w:pos="1440"/>
        </w:tabs>
        <w:ind w:left="1440" w:hanging="360"/>
      </w:pPr>
      <w:rPr>
        <w:rFonts w:ascii="Arial" w:hAnsi="Arial" w:hint="default"/>
      </w:rPr>
    </w:lvl>
    <w:lvl w:ilvl="2" w:tplc="FA4E217C" w:tentative="1">
      <w:start w:val="1"/>
      <w:numFmt w:val="bullet"/>
      <w:lvlText w:val="•"/>
      <w:lvlJc w:val="left"/>
      <w:pPr>
        <w:tabs>
          <w:tab w:val="num" w:pos="2160"/>
        </w:tabs>
        <w:ind w:left="2160" w:hanging="360"/>
      </w:pPr>
      <w:rPr>
        <w:rFonts w:ascii="Arial" w:hAnsi="Arial" w:hint="default"/>
      </w:rPr>
    </w:lvl>
    <w:lvl w:ilvl="3" w:tplc="FDF41CA8" w:tentative="1">
      <w:start w:val="1"/>
      <w:numFmt w:val="bullet"/>
      <w:lvlText w:val="•"/>
      <w:lvlJc w:val="left"/>
      <w:pPr>
        <w:tabs>
          <w:tab w:val="num" w:pos="2880"/>
        </w:tabs>
        <w:ind w:left="2880" w:hanging="360"/>
      </w:pPr>
      <w:rPr>
        <w:rFonts w:ascii="Arial" w:hAnsi="Arial" w:hint="default"/>
      </w:rPr>
    </w:lvl>
    <w:lvl w:ilvl="4" w:tplc="B42EF600" w:tentative="1">
      <w:start w:val="1"/>
      <w:numFmt w:val="bullet"/>
      <w:lvlText w:val="•"/>
      <w:lvlJc w:val="left"/>
      <w:pPr>
        <w:tabs>
          <w:tab w:val="num" w:pos="3600"/>
        </w:tabs>
        <w:ind w:left="3600" w:hanging="360"/>
      </w:pPr>
      <w:rPr>
        <w:rFonts w:ascii="Arial" w:hAnsi="Arial" w:hint="default"/>
      </w:rPr>
    </w:lvl>
    <w:lvl w:ilvl="5" w:tplc="F4E6B386" w:tentative="1">
      <w:start w:val="1"/>
      <w:numFmt w:val="bullet"/>
      <w:lvlText w:val="•"/>
      <w:lvlJc w:val="left"/>
      <w:pPr>
        <w:tabs>
          <w:tab w:val="num" w:pos="4320"/>
        </w:tabs>
        <w:ind w:left="4320" w:hanging="360"/>
      </w:pPr>
      <w:rPr>
        <w:rFonts w:ascii="Arial" w:hAnsi="Arial" w:hint="default"/>
      </w:rPr>
    </w:lvl>
    <w:lvl w:ilvl="6" w:tplc="A4980116" w:tentative="1">
      <w:start w:val="1"/>
      <w:numFmt w:val="bullet"/>
      <w:lvlText w:val="•"/>
      <w:lvlJc w:val="left"/>
      <w:pPr>
        <w:tabs>
          <w:tab w:val="num" w:pos="5040"/>
        </w:tabs>
        <w:ind w:left="5040" w:hanging="360"/>
      </w:pPr>
      <w:rPr>
        <w:rFonts w:ascii="Arial" w:hAnsi="Arial" w:hint="default"/>
      </w:rPr>
    </w:lvl>
    <w:lvl w:ilvl="7" w:tplc="F5F8CB62" w:tentative="1">
      <w:start w:val="1"/>
      <w:numFmt w:val="bullet"/>
      <w:lvlText w:val="•"/>
      <w:lvlJc w:val="left"/>
      <w:pPr>
        <w:tabs>
          <w:tab w:val="num" w:pos="5760"/>
        </w:tabs>
        <w:ind w:left="5760" w:hanging="360"/>
      </w:pPr>
      <w:rPr>
        <w:rFonts w:ascii="Arial" w:hAnsi="Arial" w:hint="default"/>
      </w:rPr>
    </w:lvl>
    <w:lvl w:ilvl="8" w:tplc="F22AD00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E212D6"/>
    <w:multiLevelType w:val="hybridMultilevel"/>
    <w:tmpl w:val="B150F94A"/>
    <w:lvl w:ilvl="0" w:tplc="470E603A">
      <w:start w:val="1"/>
      <w:numFmt w:val="bullet"/>
      <w:lvlText w:val="•"/>
      <w:lvlJc w:val="left"/>
      <w:pPr>
        <w:tabs>
          <w:tab w:val="num" w:pos="720"/>
        </w:tabs>
        <w:ind w:left="720" w:hanging="360"/>
      </w:pPr>
      <w:rPr>
        <w:rFonts w:ascii="Arial" w:hAnsi="Arial" w:hint="default"/>
      </w:rPr>
    </w:lvl>
    <w:lvl w:ilvl="1" w:tplc="E692FA2C" w:tentative="1">
      <w:start w:val="1"/>
      <w:numFmt w:val="bullet"/>
      <w:lvlText w:val="•"/>
      <w:lvlJc w:val="left"/>
      <w:pPr>
        <w:tabs>
          <w:tab w:val="num" w:pos="1440"/>
        </w:tabs>
        <w:ind w:left="1440" w:hanging="360"/>
      </w:pPr>
      <w:rPr>
        <w:rFonts w:ascii="Arial" w:hAnsi="Arial" w:hint="default"/>
      </w:rPr>
    </w:lvl>
    <w:lvl w:ilvl="2" w:tplc="03CE3670" w:tentative="1">
      <w:start w:val="1"/>
      <w:numFmt w:val="bullet"/>
      <w:lvlText w:val="•"/>
      <w:lvlJc w:val="left"/>
      <w:pPr>
        <w:tabs>
          <w:tab w:val="num" w:pos="2160"/>
        </w:tabs>
        <w:ind w:left="2160" w:hanging="360"/>
      </w:pPr>
      <w:rPr>
        <w:rFonts w:ascii="Arial" w:hAnsi="Arial" w:hint="default"/>
      </w:rPr>
    </w:lvl>
    <w:lvl w:ilvl="3" w:tplc="D81063D4" w:tentative="1">
      <w:start w:val="1"/>
      <w:numFmt w:val="bullet"/>
      <w:lvlText w:val="•"/>
      <w:lvlJc w:val="left"/>
      <w:pPr>
        <w:tabs>
          <w:tab w:val="num" w:pos="2880"/>
        </w:tabs>
        <w:ind w:left="2880" w:hanging="360"/>
      </w:pPr>
      <w:rPr>
        <w:rFonts w:ascii="Arial" w:hAnsi="Arial" w:hint="default"/>
      </w:rPr>
    </w:lvl>
    <w:lvl w:ilvl="4" w:tplc="376EE47C" w:tentative="1">
      <w:start w:val="1"/>
      <w:numFmt w:val="bullet"/>
      <w:lvlText w:val="•"/>
      <w:lvlJc w:val="left"/>
      <w:pPr>
        <w:tabs>
          <w:tab w:val="num" w:pos="3600"/>
        </w:tabs>
        <w:ind w:left="3600" w:hanging="360"/>
      </w:pPr>
      <w:rPr>
        <w:rFonts w:ascii="Arial" w:hAnsi="Arial" w:hint="default"/>
      </w:rPr>
    </w:lvl>
    <w:lvl w:ilvl="5" w:tplc="059C9F2C" w:tentative="1">
      <w:start w:val="1"/>
      <w:numFmt w:val="bullet"/>
      <w:lvlText w:val="•"/>
      <w:lvlJc w:val="left"/>
      <w:pPr>
        <w:tabs>
          <w:tab w:val="num" w:pos="4320"/>
        </w:tabs>
        <w:ind w:left="4320" w:hanging="360"/>
      </w:pPr>
      <w:rPr>
        <w:rFonts w:ascii="Arial" w:hAnsi="Arial" w:hint="default"/>
      </w:rPr>
    </w:lvl>
    <w:lvl w:ilvl="6" w:tplc="C5E22332" w:tentative="1">
      <w:start w:val="1"/>
      <w:numFmt w:val="bullet"/>
      <w:lvlText w:val="•"/>
      <w:lvlJc w:val="left"/>
      <w:pPr>
        <w:tabs>
          <w:tab w:val="num" w:pos="5040"/>
        </w:tabs>
        <w:ind w:left="5040" w:hanging="360"/>
      </w:pPr>
      <w:rPr>
        <w:rFonts w:ascii="Arial" w:hAnsi="Arial" w:hint="default"/>
      </w:rPr>
    </w:lvl>
    <w:lvl w:ilvl="7" w:tplc="8F1825F6" w:tentative="1">
      <w:start w:val="1"/>
      <w:numFmt w:val="bullet"/>
      <w:lvlText w:val="•"/>
      <w:lvlJc w:val="left"/>
      <w:pPr>
        <w:tabs>
          <w:tab w:val="num" w:pos="5760"/>
        </w:tabs>
        <w:ind w:left="5760" w:hanging="360"/>
      </w:pPr>
      <w:rPr>
        <w:rFonts w:ascii="Arial" w:hAnsi="Arial" w:hint="default"/>
      </w:rPr>
    </w:lvl>
    <w:lvl w:ilvl="8" w:tplc="B9D47B4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0708D1"/>
    <w:multiLevelType w:val="hybridMultilevel"/>
    <w:tmpl w:val="B14A069A"/>
    <w:lvl w:ilvl="0" w:tplc="AE80D422">
      <w:start w:val="1"/>
      <w:numFmt w:val="bullet"/>
      <w:lvlText w:val="•"/>
      <w:lvlJc w:val="left"/>
      <w:pPr>
        <w:tabs>
          <w:tab w:val="num" w:pos="360"/>
        </w:tabs>
        <w:ind w:left="360" w:hanging="360"/>
      </w:pPr>
      <w:rPr>
        <w:rFonts w:ascii="Arial" w:hAnsi="Arial" w:hint="default"/>
      </w:rPr>
    </w:lvl>
    <w:lvl w:ilvl="1" w:tplc="A93CF0CE">
      <w:start w:val="4098"/>
      <w:numFmt w:val="bullet"/>
      <w:lvlText w:val="•"/>
      <w:lvlJc w:val="left"/>
      <w:pPr>
        <w:tabs>
          <w:tab w:val="num" w:pos="1080"/>
        </w:tabs>
        <w:ind w:left="1080" w:hanging="360"/>
      </w:pPr>
      <w:rPr>
        <w:rFonts w:ascii="Arial" w:hAnsi="Arial" w:hint="default"/>
      </w:rPr>
    </w:lvl>
    <w:lvl w:ilvl="2" w:tplc="C3D8D3CC" w:tentative="1">
      <w:start w:val="1"/>
      <w:numFmt w:val="bullet"/>
      <w:lvlText w:val="•"/>
      <w:lvlJc w:val="left"/>
      <w:pPr>
        <w:tabs>
          <w:tab w:val="num" w:pos="1800"/>
        </w:tabs>
        <w:ind w:left="1800" w:hanging="360"/>
      </w:pPr>
      <w:rPr>
        <w:rFonts w:ascii="Arial" w:hAnsi="Arial" w:hint="default"/>
      </w:rPr>
    </w:lvl>
    <w:lvl w:ilvl="3" w:tplc="D4EAD6D6" w:tentative="1">
      <w:start w:val="1"/>
      <w:numFmt w:val="bullet"/>
      <w:lvlText w:val="•"/>
      <w:lvlJc w:val="left"/>
      <w:pPr>
        <w:tabs>
          <w:tab w:val="num" w:pos="2520"/>
        </w:tabs>
        <w:ind w:left="2520" w:hanging="360"/>
      </w:pPr>
      <w:rPr>
        <w:rFonts w:ascii="Arial" w:hAnsi="Arial" w:hint="default"/>
      </w:rPr>
    </w:lvl>
    <w:lvl w:ilvl="4" w:tplc="594659D4" w:tentative="1">
      <w:start w:val="1"/>
      <w:numFmt w:val="bullet"/>
      <w:lvlText w:val="•"/>
      <w:lvlJc w:val="left"/>
      <w:pPr>
        <w:tabs>
          <w:tab w:val="num" w:pos="3240"/>
        </w:tabs>
        <w:ind w:left="3240" w:hanging="360"/>
      </w:pPr>
      <w:rPr>
        <w:rFonts w:ascii="Arial" w:hAnsi="Arial" w:hint="default"/>
      </w:rPr>
    </w:lvl>
    <w:lvl w:ilvl="5" w:tplc="B064818A" w:tentative="1">
      <w:start w:val="1"/>
      <w:numFmt w:val="bullet"/>
      <w:lvlText w:val="•"/>
      <w:lvlJc w:val="left"/>
      <w:pPr>
        <w:tabs>
          <w:tab w:val="num" w:pos="3960"/>
        </w:tabs>
        <w:ind w:left="3960" w:hanging="360"/>
      </w:pPr>
      <w:rPr>
        <w:rFonts w:ascii="Arial" w:hAnsi="Arial" w:hint="default"/>
      </w:rPr>
    </w:lvl>
    <w:lvl w:ilvl="6" w:tplc="1A128878" w:tentative="1">
      <w:start w:val="1"/>
      <w:numFmt w:val="bullet"/>
      <w:lvlText w:val="•"/>
      <w:lvlJc w:val="left"/>
      <w:pPr>
        <w:tabs>
          <w:tab w:val="num" w:pos="4680"/>
        </w:tabs>
        <w:ind w:left="4680" w:hanging="360"/>
      </w:pPr>
      <w:rPr>
        <w:rFonts w:ascii="Arial" w:hAnsi="Arial" w:hint="default"/>
      </w:rPr>
    </w:lvl>
    <w:lvl w:ilvl="7" w:tplc="F2FEC352" w:tentative="1">
      <w:start w:val="1"/>
      <w:numFmt w:val="bullet"/>
      <w:lvlText w:val="•"/>
      <w:lvlJc w:val="left"/>
      <w:pPr>
        <w:tabs>
          <w:tab w:val="num" w:pos="5400"/>
        </w:tabs>
        <w:ind w:left="5400" w:hanging="360"/>
      </w:pPr>
      <w:rPr>
        <w:rFonts w:ascii="Arial" w:hAnsi="Arial" w:hint="default"/>
      </w:rPr>
    </w:lvl>
    <w:lvl w:ilvl="8" w:tplc="94B42B3E"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A7A6623"/>
    <w:multiLevelType w:val="hybridMultilevel"/>
    <w:tmpl w:val="112887E2"/>
    <w:lvl w:ilvl="0" w:tplc="89F6410C">
      <w:start w:val="1"/>
      <w:numFmt w:val="bullet"/>
      <w:lvlText w:val="•"/>
      <w:lvlJc w:val="left"/>
      <w:pPr>
        <w:tabs>
          <w:tab w:val="num" w:pos="720"/>
        </w:tabs>
        <w:ind w:left="720" w:hanging="360"/>
      </w:pPr>
      <w:rPr>
        <w:rFonts w:ascii="Arial" w:hAnsi="Arial" w:hint="default"/>
      </w:rPr>
    </w:lvl>
    <w:lvl w:ilvl="1" w:tplc="B5448D60" w:tentative="1">
      <w:start w:val="1"/>
      <w:numFmt w:val="bullet"/>
      <w:lvlText w:val="•"/>
      <w:lvlJc w:val="left"/>
      <w:pPr>
        <w:tabs>
          <w:tab w:val="num" w:pos="1440"/>
        </w:tabs>
        <w:ind w:left="1440" w:hanging="360"/>
      </w:pPr>
      <w:rPr>
        <w:rFonts w:ascii="Arial" w:hAnsi="Arial" w:hint="default"/>
      </w:rPr>
    </w:lvl>
    <w:lvl w:ilvl="2" w:tplc="FE161AFA" w:tentative="1">
      <w:start w:val="1"/>
      <w:numFmt w:val="bullet"/>
      <w:lvlText w:val="•"/>
      <w:lvlJc w:val="left"/>
      <w:pPr>
        <w:tabs>
          <w:tab w:val="num" w:pos="2160"/>
        </w:tabs>
        <w:ind w:left="2160" w:hanging="360"/>
      </w:pPr>
      <w:rPr>
        <w:rFonts w:ascii="Arial" w:hAnsi="Arial" w:hint="default"/>
      </w:rPr>
    </w:lvl>
    <w:lvl w:ilvl="3" w:tplc="6DD85DC2" w:tentative="1">
      <w:start w:val="1"/>
      <w:numFmt w:val="bullet"/>
      <w:lvlText w:val="•"/>
      <w:lvlJc w:val="left"/>
      <w:pPr>
        <w:tabs>
          <w:tab w:val="num" w:pos="2880"/>
        </w:tabs>
        <w:ind w:left="2880" w:hanging="360"/>
      </w:pPr>
      <w:rPr>
        <w:rFonts w:ascii="Arial" w:hAnsi="Arial" w:hint="default"/>
      </w:rPr>
    </w:lvl>
    <w:lvl w:ilvl="4" w:tplc="39CA4EB8" w:tentative="1">
      <w:start w:val="1"/>
      <w:numFmt w:val="bullet"/>
      <w:lvlText w:val="•"/>
      <w:lvlJc w:val="left"/>
      <w:pPr>
        <w:tabs>
          <w:tab w:val="num" w:pos="3600"/>
        </w:tabs>
        <w:ind w:left="3600" w:hanging="360"/>
      </w:pPr>
      <w:rPr>
        <w:rFonts w:ascii="Arial" w:hAnsi="Arial" w:hint="default"/>
      </w:rPr>
    </w:lvl>
    <w:lvl w:ilvl="5" w:tplc="6A7ECE88" w:tentative="1">
      <w:start w:val="1"/>
      <w:numFmt w:val="bullet"/>
      <w:lvlText w:val="•"/>
      <w:lvlJc w:val="left"/>
      <w:pPr>
        <w:tabs>
          <w:tab w:val="num" w:pos="4320"/>
        </w:tabs>
        <w:ind w:left="4320" w:hanging="360"/>
      </w:pPr>
      <w:rPr>
        <w:rFonts w:ascii="Arial" w:hAnsi="Arial" w:hint="default"/>
      </w:rPr>
    </w:lvl>
    <w:lvl w:ilvl="6" w:tplc="E4AEAB1E" w:tentative="1">
      <w:start w:val="1"/>
      <w:numFmt w:val="bullet"/>
      <w:lvlText w:val="•"/>
      <w:lvlJc w:val="left"/>
      <w:pPr>
        <w:tabs>
          <w:tab w:val="num" w:pos="5040"/>
        </w:tabs>
        <w:ind w:left="5040" w:hanging="360"/>
      </w:pPr>
      <w:rPr>
        <w:rFonts w:ascii="Arial" w:hAnsi="Arial" w:hint="default"/>
      </w:rPr>
    </w:lvl>
    <w:lvl w:ilvl="7" w:tplc="3AD2F102" w:tentative="1">
      <w:start w:val="1"/>
      <w:numFmt w:val="bullet"/>
      <w:lvlText w:val="•"/>
      <w:lvlJc w:val="left"/>
      <w:pPr>
        <w:tabs>
          <w:tab w:val="num" w:pos="5760"/>
        </w:tabs>
        <w:ind w:left="5760" w:hanging="360"/>
      </w:pPr>
      <w:rPr>
        <w:rFonts w:ascii="Arial" w:hAnsi="Arial" w:hint="default"/>
      </w:rPr>
    </w:lvl>
    <w:lvl w:ilvl="8" w:tplc="91D663A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9C367D"/>
    <w:multiLevelType w:val="hybridMultilevel"/>
    <w:tmpl w:val="10002BE8"/>
    <w:lvl w:ilvl="0" w:tplc="D95897B6">
      <w:start w:val="1"/>
      <w:numFmt w:val="bullet"/>
      <w:lvlText w:val="•"/>
      <w:lvlJc w:val="left"/>
      <w:pPr>
        <w:tabs>
          <w:tab w:val="num" w:pos="360"/>
        </w:tabs>
        <w:ind w:left="360" w:hanging="360"/>
      </w:pPr>
      <w:rPr>
        <w:rFonts w:ascii="Arial" w:hAnsi="Arial" w:hint="default"/>
      </w:rPr>
    </w:lvl>
    <w:lvl w:ilvl="1" w:tplc="A82AC7D6" w:tentative="1">
      <w:start w:val="1"/>
      <w:numFmt w:val="bullet"/>
      <w:lvlText w:val="•"/>
      <w:lvlJc w:val="left"/>
      <w:pPr>
        <w:tabs>
          <w:tab w:val="num" w:pos="1080"/>
        </w:tabs>
        <w:ind w:left="1080" w:hanging="360"/>
      </w:pPr>
      <w:rPr>
        <w:rFonts w:ascii="Arial" w:hAnsi="Arial" w:hint="default"/>
      </w:rPr>
    </w:lvl>
    <w:lvl w:ilvl="2" w:tplc="EC96DAA2" w:tentative="1">
      <w:start w:val="1"/>
      <w:numFmt w:val="bullet"/>
      <w:lvlText w:val="•"/>
      <w:lvlJc w:val="left"/>
      <w:pPr>
        <w:tabs>
          <w:tab w:val="num" w:pos="1800"/>
        </w:tabs>
        <w:ind w:left="1800" w:hanging="360"/>
      </w:pPr>
      <w:rPr>
        <w:rFonts w:ascii="Arial" w:hAnsi="Arial" w:hint="default"/>
      </w:rPr>
    </w:lvl>
    <w:lvl w:ilvl="3" w:tplc="18C24A82" w:tentative="1">
      <w:start w:val="1"/>
      <w:numFmt w:val="bullet"/>
      <w:lvlText w:val="•"/>
      <w:lvlJc w:val="left"/>
      <w:pPr>
        <w:tabs>
          <w:tab w:val="num" w:pos="2520"/>
        </w:tabs>
        <w:ind w:left="2520" w:hanging="360"/>
      </w:pPr>
      <w:rPr>
        <w:rFonts w:ascii="Arial" w:hAnsi="Arial" w:hint="default"/>
      </w:rPr>
    </w:lvl>
    <w:lvl w:ilvl="4" w:tplc="A9FEF8CC" w:tentative="1">
      <w:start w:val="1"/>
      <w:numFmt w:val="bullet"/>
      <w:lvlText w:val="•"/>
      <w:lvlJc w:val="left"/>
      <w:pPr>
        <w:tabs>
          <w:tab w:val="num" w:pos="3240"/>
        </w:tabs>
        <w:ind w:left="3240" w:hanging="360"/>
      </w:pPr>
      <w:rPr>
        <w:rFonts w:ascii="Arial" w:hAnsi="Arial" w:hint="default"/>
      </w:rPr>
    </w:lvl>
    <w:lvl w:ilvl="5" w:tplc="4A5E49F6" w:tentative="1">
      <w:start w:val="1"/>
      <w:numFmt w:val="bullet"/>
      <w:lvlText w:val="•"/>
      <w:lvlJc w:val="left"/>
      <w:pPr>
        <w:tabs>
          <w:tab w:val="num" w:pos="3960"/>
        </w:tabs>
        <w:ind w:left="3960" w:hanging="360"/>
      </w:pPr>
      <w:rPr>
        <w:rFonts w:ascii="Arial" w:hAnsi="Arial" w:hint="default"/>
      </w:rPr>
    </w:lvl>
    <w:lvl w:ilvl="6" w:tplc="C1E61D28" w:tentative="1">
      <w:start w:val="1"/>
      <w:numFmt w:val="bullet"/>
      <w:lvlText w:val="•"/>
      <w:lvlJc w:val="left"/>
      <w:pPr>
        <w:tabs>
          <w:tab w:val="num" w:pos="4680"/>
        </w:tabs>
        <w:ind w:left="4680" w:hanging="360"/>
      </w:pPr>
      <w:rPr>
        <w:rFonts w:ascii="Arial" w:hAnsi="Arial" w:hint="default"/>
      </w:rPr>
    </w:lvl>
    <w:lvl w:ilvl="7" w:tplc="04E2C1B2" w:tentative="1">
      <w:start w:val="1"/>
      <w:numFmt w:val="bullet"/>
      <w:lvlText w:val="•"/>
      <w:lvlJc w:val="left"/>
      <w:pPr>
        <w:tabs>
          <w:tab w:val="num" w:pos="5400"/>
        </w:tabs>
        <w:ind w:left="5400" w:hanging="360"/>
      </w:pPr>
      <w:rPr>
        <w:rFonts w:ascii="Arial" w:hAnsi="Arial" w:hint="default"/>
      </w:rPr>
    </w:lvl>
    <w:lvl w:ilvl="8" w:tplc="557865F4"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7E21174A"/>
    <w:multiLevelType w:val="hybridMultilevel"/>
    <w:tmpl w:val="5378B6D6"/>
    <w:lvl w:ilvl="0" w:tplc="9DF8A152">
      <w:start w:val="1"/>
      <w:numFmt w:val="bullet"/>
      <w:lvlText w:val="•"/>
      <w:lvlJc w:val="left"/>
      <w:pPr>
        <w:tabs>
          <w:tab w:val="num" w:pos="720"/>
        </w:tabs>
        <w:ind w:left="720" w:hanging="360"/>
      </w:pPr>
      <w:rPr>
        <w:rFonts w:ascii="Arial" w:hAnsi="Arial" w:hint="default"/>
      </w:rPr>
    </w:lvl>
    <w:lvl w:ilvl="1" w:tplc="73CA7D00" w:tentative="1">
      <w:start w:val="1"/>
      <w:numFmt w:val="bullet"/>
      <w:lvlText w:val="•"/>
      <w:lvlJc w:val="left"/>
      <w:pPr>
        <w:tabs>
          <w:tab w:val="num" w:pos="1440"/>
        </w:tabs>
        <w:ind w:left="1440" w:hanging="360"/>
      </w:pPr>
      <w:rPr>
        <w:rFonts w:ascii="Arial" w:hAnsi="Arial" w:hint="default"/>
      </w:rPr>
    </w:lvl>
    <w:lvl w:ilvl="2" w:tplc="E22090BA" w:tentative="1">
      <w:start w:val="1"/>
      <w:numFmt w:val="bullet"/>
      <w:lvlText w:val="•"/>
      <w:lvlJc w:val="left"/>
      <w:pPr>
        <w:tabs>
          <w:tab w:val="num" w:pos="2160"/>
        </w:tabs>
        <w:ind w:left="2160" w:hanging="360"/>
      </w:pPr>
      <w:rPr>
        <w:rFonts w:ascii="Arial" w:hAnsi="Arial" w:hint="default"/>
      </w:rPr>
    </w:lvl>
    <w:lvl w:ilvl="3" w:tplc="AC04B6EA" w:tentative="1">
      <w:start w:val="1"/>
      <w:numFmt w:val="bullet"/>
      <w:lvlText w:val="•"/>
      <w:lvlJc w:val="left"/>
      <w:pPr>
        <w:tabs>
          <w:tab w:val="num" w:pos="2880"/>
        </w:tabs>
        <w:ind w:left="2880" w:hanging="360"/>
      </w:pPr>
      <w:rPr>
        <w:rFonts w:ascii="Arial" w:hAnsi="Arial" w:hint="default"/>
      </w:rPr>
    </w:lvl>
    <w:lvl w:ilvl="4" w:tplc="CB96D3B2" w:tentative="1">
      <w:start w:val="1"/>
      <w:numFmt w:val="bullet"/>
      <w:lvlText w:val="•"/>
      <w:lvlJc w:val="left"/>
      <w:pPr>
        <w:tabs>
          <w:tab w:val="num" w:pos="3600"/>
        </w:tabs>
        <w:ind w:left="3600" w:hanging="360"/>
      </w:pPr>
      <w:rPr>
        <w:rFonts w:ascii="Arial" w:hAnsi="Arial" w:hint="default"/>
      </w:rPr>
    </w:lvl>
    <w:lvl w:ilvl="5" w:tplc="E826B14A" w:tentative="1">
      <w:start w:val="1"/>
      <w:numFmt w:val="bullet"/>
      <w:lvlText w:val="•"/>
      <w:lvlJc w:val="left"/>
      <w:pPr>
        <w:tabs>
          <w:tab w:val="num" w:pos="4320"/>
        </w:tabs>
        <w:ind w:left="4320" w:hanging="360"/>
      </w:pPr>
      <w:rPr>
        <w:rFonts w:ascii="Arial" w:hAnsi="Arial" w:hint="default"/>
      </w:rPr>
    </w:lvl>
    <w:lvl w:ilvl="6" w:tplc="09709240" w:tentative="1">
      <w:start w:val="1"/>
      <w:numFmt w:val="bullet"/>
      <w:lvlText w:val="•"/>
      <w:lvlJc w:val="left"/>
      <w:pPr>
        <w:tabs>
          <w:tab w:val="num" w:pos="5040"/>
        </w:tabs>
        <w:ind w:left="5040" w:hanging="360"/>
      </w:pPr>
      <w:rPr>
        <w:rFonts w:ascii="Arial" w:hAnsi="Arial" w:hint="default"/>
      </w:rPr>
    </w:lvl>
    <w:lvl w:ilvl="7" w:tplc="149E5C54" w:tentative="1">
      <w:start w:val="1"/>
      <w:numFmt w:val="bullet"/>
      <w:lvlText w:val="•"/>
      <w:lvlJc w:val="left"/>
      <w:pPr>
        <w:tabs>
          <w:tab w:val="num" w:pos="5760"/>
        </w:tabs>
        <w:ind w:left="5760" w:hanging="360"/>
      </w:pPr>
      <w:rPr>
        <w:rFonts w:ascii="Arial" w:hAnsi="Arial" w:hint="default"/>
      </w:rPr>
    </w:lvl>
    <w:lvl w:ilvl="8" w:tplc="7F20826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351B99"/>
    <w:multiLevelType w:val="hybridMultilevel"/>
    <w:tmpl w:val="046E2D84"/>
    <w:lvl w:ilvl="0" w:tplc="ACFCE548">
      <w:start w:val="1"/>
      <w:numFmt w:val="bullet"/>
      <w:lvlText w:val="•"/>
      <w:lvlJc w:val="left"/>
      <w:pPr>
        <w:tabs>
          <w:tab w:val="num" w:pos="360"/>
        </w:tabs>
        <w:ind w:left="360" w:hanging="360"/>
      </w:pPr>
      <w:rPr>
        <w:rFonts w:ascii="Arial" w:hAnsi="Arial" w:hint="default"/>
      </w:rPr>
    </w:lvl>
    <w:lvl w:ilvl="1" w:tplc="A1F249EE">
      <w:start w:val="4098"/>
      <w:numFmt w:val="bullet"/>
      <w:lvlText w:val="•"/>
      <w:lvlJc w:val="left"/>
      <w:pPr>
        <w:tabs>
          <w:tab w:val="num" w:pos="1080"/>
        </w:tabs>
        <w:ind w:left="1080" w:hanging="360"/>
      </w:pPr>
      <w:rPr>
        <w:rFonts w:ascii="Arial" w:hAnsi="Arial" w:hint="default"/>
      </w:rPr>
    </w:lvl>
    <w:lvl w:ilvl="2" w:tplc="81A665EA" w:tentative="1">
      <w:start w:val="1"/>
      <w:numFmt w:val="bullet"/>
      <w:lvlText w:val="•"/>
      <w:lvlJc w:val="left"/>
      <w:pPr>
        <w:tabs>
          <w:tab w:val="num" w:pos="1800"/>
        </w:tabs>
        <w:ind w:left="1800" w:hanging="360"/>
      </w:pPr>
      <w:rPr>
        <w:rFonts w:ascii="Arial" w:hAnsi="Arial" w:hint="default"/>
      </w:rPr>
    </w:lvl>
    <w:lvl w:ilvl="3" w:tplc="54D60E18" w:tentative="1">
      <w:start w:val="1"/>
      <w:numFmt w:val="bullet"/>
      <w:lvlText w:val="•"/>
      <w:lvlJc w:val="left"/>
      <w:pPr>
        <w:tabs>
          <w:tab w:val="num" w:pos="2520"/>
        </w:tabs>
        <w:ind w:left="2520" w:hanging="360"/>
      </w:pPr>
      <w:rPr>
        <w:rFonts w:ascii="Arial" w:hAnsi="Arial" w:hint="default"/>
      </w:rPr>
    </w:lvl>
    <w:lvl w:ilvl="4" w:tplc="F104EE2A" w:tentative="1">
      <w:start w:val="1"/>
      <w:numFmt w:val="bullet"/>
      <w:lvlText w:val="•"/>
      <w:lvlJc w:val="left"/>
      <w:pPr>
        <w:tabs>
          <w:tab w:val="num" w:pos="3240"/>
        </w:tabs>
        <w:ind w:left="3240" w:hanging="360"/>
      </w:pPr>
      <w:rPr>
        <w:rFonts w:ascii="Arial" w:hAnsi="Arial" w:hint="default"/>
      </w:rPr>
    </w:lvl>
    <w:lvl w:ilvl="5" w:tplc="7882B170" w:tentative="1">
      <w:start w:val="1"/>
      <w:numFmt w:val="bullet"/>
      <w:lvlText w:val="•"/>
      <w:lvlJc w:val="left"/>
      <w:pPr>
        <w:tabs>
          <w:tab w:val="num" w:pos="3960"/>
        </w:tabs>
        <w:ind w:left="3960" w:hanging="360"/>
      </w:pPr>
      <w:rPr>
        <w:rFonts w:ascii="Arial" w:hAnsi="Arial" w:hint="default"/>
      </w:rPr>
    </w:lvl>
    <w:lvl w:ilvl="6" w:tplc="9F9A4F50" w:tentative="1">
      <w:start w:val="1"/>
      <w:numFmt w:val="bullet"/>
      <w:lvlText w:val="•"/>
      <w:lvlJc w:val="left"/>
      <w:pPr>
        <w:tabs>
          <w:tab w:val="num" w:pos="4680"/>
        </w:tabs>
        <w:ind w:left="4680" w:hanging="360"/>
      </w:pPr>
      <w:rPr>
        <w:rFonts w:ascii="Arial" w:hAnsi="Arial" w:hint="default"/>
      </w:rPr>
    </w:lvl>
    <w:lvl w:ilvl="7" w:tplc="345E53A4" w:tentative="1">
      <w:start w:val="1"/>
      <w:numFmt w:val="bullet"/>
      <w:lvlText w:val="•"/>
      <w:lvlJc w:val="left"/>
      <w:pPr>
        <w:tabs>
          <w:tab w:val="num" w:pos="5400"/>
        </w:tabs>
        <w:ind w:left="5400" w:hanging="360"/>
      </w:pPr>
      <w:rPr>
        <w:rFonts w:ascii="Arial" w:hAnsi="Arial" w:hint="default"/>
      </w:rPr>
    </w:lvl>
    <w:lvl w:ilvl="8" w:tplc="2892E018" w:tentative="1">
      <w:start w:val="1"/>
      <w:numFmt w:val="bullet"/>
      <w:lvlText w:val="•"/>
      <w:lvlJc w:val="left"/>
      <w:pPr>
        <w:tabs>
          <w:tab w:val="num" w:pos="6120"/>
        </w:tabs>
        <w:ind w:left="6120" w:hanging="360"/>
      </w:pPr>
      <w:rPr>
        <w:rFonts w:ascii="Arial" w:hAnsi="Arial" w:hint="default"/>
      </w:rPr>
    </w:lvl>
  </w:abstractNum>
  <w:num w:numId="1">
    <w:abstractNumId w:val="26"/>
  </w:num>
  <w:num w:numId="2">
    <w:abstractNumId w:val="9"/>
  </w:num>
  <w:num w:numId="3">
    <w:abstractNumId w:val="17"/>
  </w:num>
  <w:num w:numId="4">
    <w:abstractNumId w:val="7"/>
  </w:num>
  <w:num w:numId="5">
    <w:abstractNumId w:val="28"/>
  </w:num>
  <w:num w:numId="6">
    <w:abstractNumId w:val="22"/>
  </w:num>
  <w:num w:numId="7">
    <w:abstractNumId w:val="16"/>
  </w:num>
  <w:num w:numId="8">
    <w:abstractNumId w:val="15"/>
  </w:num>
  <w:num w:numId="9">
    <w:abstractNumId w:val="18"/>
  </w:num>
  <w:num w:numId="10">
    <w:abstractNumId w:val="21"/>
  </w:num>
  <w:num w:numId="11">
    <w:abstractNumId w:val="30"/>
  </w:num>
  <w:num w:numId="12">
    <w:abstractNumId w:val="5"/>
  </w:num>
  <w:num w:numId="13">
    <w:abstractNumId w:val="10"/>
  </w:num>
  <w:num w:numId="14">
    <w:abstractNumId w:val="13"/>
  </w:num>
  <w:num w:numId="15">
    <w:abstractNumId w:val="3"/>
  </w:num>
  <w:num w:numId="16">
    <w:abstractNumId w:val="23"/>
  </w:num>
  <w:num w:numId="17">
    <w:abstractNumId w:val="25"/>
  </w:num>
  <w:num w:numId="18">
    <w:abstractNumId w:val="4"/>
  </w:num>
  <w:num w:numId="19">
    <w:abstractNumId w:val="24"/>
  </w:num>
  <w:num w:numId="20">
    <w:abstractNumId w:val="14"/>
  </w:num>
  <w:num w:numId="21">
    <w:abstractNumId w:val="19"/>
  </w:num>
  <w:num w:numId="22">
    <w:abstractNumId w:val="20"/>
  </w:num>
  <w:num w:numId="23">
    <w:abstractNumId w:val="6"/>
  </w:num>
  <w:num w:numId="24">
    <w:abstractNumId w:val="2"/>
  </w:num>
  <w:num w:numId="25">
    <w:abstractNumId w:val="0"/>
  </w:num>
  <w:num w:numId="26">
    <w:abstractNumId w:val="8"/>
  </w:num>
  <w:num w:numId="27">
    <w:abstractNumId w:val="29"/>
  </w:num>
  <w:num w:numId="28">
    <w:abstractNumId w:val="11"/>
  </w:num>
  <w:num w:numId="29">
    <w:abstractNumId w:val="12"/>
  </w:num>
  <w:num w:numId="30">
    <w:abstractNumId w:val="27"/>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533"/>
    <w:rsid w:val="00093B7D"/>
    <w:rsid w:val="000E161A"/>
    <w:rsid w:val="00134700"/>
    <w:rsid w:val="00292EC6"/>
    <w:rsid w:val="003031A3"/>
    <w:rsid w:val="00340090"/>
    <w:rsid w:val="00376FAC"/>
    <w:rsid w:val="004104B0"/>
    <w:rsid w:val="00434348"/>
    <w:rsid w:val="00436DF9"/>
    <w:rsid w:val="004613D2"/>
    <w:rsid w:val="00486AE9"/>
    <w:rsid w:val="004A1A2D"/>
    <w:rsid w:val="00541304"/>
    <w:rsid w:val="005649F4"/>
    <w:rsid w:val="00565F23"/>
    <w:rsid w:val="00593E82"/>
    <w:rsid w:val="005B56F2"/>
    <w:rsid w:val="005C2EC3"/>
    <w:rsid w:val="005C6533"/>
    <w:rsid w:val="005D451C"/>
    <w:rsid w:val="0064113F"/>
    <w:rsid w:val="00663079"/>
    <w:rsid w:val="00690079"/>
    <w:rsid w:val="006C27A1"/>
    <w:rsid w:val="006E4CB6"/>
    <w:rsid w:val="00717472"/>
    <w:rsid w:val="0073624A"/>
    <w:rsid w:val="00754390"/>
    <w:rsid w:val="0077444F"/>
    <w:rsid w:val="007758B4"/>
    <w:rsid w:val="007A54EC"/>
    <w:rsid w:val="007E75D3"/>
    <w:rsid w:val="008177E8"/>
    <w:rsid w:val="00836B81"/>
    <w:rsid w:val="008B6322"/>
    <w:rsid w:val="008F1B07"/>
    <w:rsid w:val="0093699F"/>
    <w:rsid w:val="009806B4"/>
    <w:rsid w:val="00A001C8"/>
    <w:rsid w:val="00A21E08"/>
    <w:rsid w:val="00A46148"/>
    <w:rsid w:val="00AE15A7"/>
    <w:rsid w:val="00B80A30"/>
    <w:rsid w:val="00BC2E00"/>
    <w:rsid w:val="00BE72BB"/>
    <w:rsid w:val="00C0418B"/>
    <w:rsid w:val="00C41955"/>
    <w:rsid w:val="00D063DC"/>
    <w:rsid w:val="00D6711F"/>
    <w:rsid w:val="00DE4F84"/>
    <w:rsid w:val="00E44620"/>
    <w:rsid w:val="00E553CC"/>
    <w:rsid w:val="00E62792"/>
    <w:rsid w:val="00E776FC"/>
    <w:rsid w:val="00EC0583"/>
    <w:rsid w:val="00EF64D4"/>
    <w:rsid w:val="00F14B0F"/>
    <w:rsid w:val="00F33FF1"/>
    <w:rsid w:val="00F6735D"/>
    <w:rsid w:val="00FC3F61"/>
    <w:rsid w:val="00FE00B1"/>
    <w:rsid w:val="00FF5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6CD0C5"/>
  <w15:chartTrackingRefBased/>
  <w15:docId w15:val="{53FF48D9-547D-498E-A10D-310A6D29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E00"/>
    <w:pPr>
      <w:spacing w:after="160" w:line="276" w:lineRule="auto"/>
    </w:pPr>
    <w:rPr>
      <w:rFonts w:eastAsiaTheme="minorEastAsia"/>
      <w:sz w:val="21"/>
      <w:szCs w:val="21"/>
    </w:rPr>
  </w:style>
  <w:style w:type="paragraph" w:styleId="Heading1">
    <w:name w:val="heading 1"/>
    <w:basedOn w:val="Normal"/>
    <w:next w:val="Normal"/>
    <w:link w:val="Heading1Char"/>
    <w:uiPriority w:val="9"/>
    <w:qFormat/>
    <w:rsid w:val="00BC2E00"/>
    <w:pPr>
      <w:keepNext/>
      <w:keepLines/>
      <w:pBdr>
        <w:bottom w:val="single" w:sz="4" w:space="2" w:color="1C3C50"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BC2E00"/>
    <w:pPr>
      <w:keepNext/>
      <w:keepLines/>
      <w:spacing w:before="120" w:after="0" w:line="240" w:lineRule="auto"/>
      <w:outlineLvl w:val="1"/>
    </w:pPr>
    <w:rPr>
      <w:rFonts w:asciiTheme="majorHAnsi" w:eastAsiaTheme="majorEastAsia" w:hAnsiTheme="majorHAnsi" w:cstheme="majorBidi"/>
      <w:color w:val="1C3C50" w:themeColor="accent2"/>
      <w:sz w:val="36"/>
      <w:szCs w:val="36"/>
    </w:rPr>
  </w:style>
  <w:style w:type="paragraph" w:styleId="Heading3">
    <w:name w:val="heading 3"/>
    <w:basedOn w:val="Normal"/>
    <w:next w:val="Normal"/>
    <w:link w:val="Heading3Char"/>
    <w:uiPriority w:val="9"/>
    <w:semiHidden/>
    <w:unhideWhenUsed/>
    <w:qFormat/>
    <w:rsid w:val="00BC2E00"/>
    <w:pPr>
      <w:keepNext/>
      <w:keepLines/>
      <w:spacing w:before="80" w:after="0" w:line="240" w:lineRule="auto"/>
      <w:outlineLvl w:val="2"/>
    </w:pPr>
    <w:rPr>
      <w:rFonts w:asciiTheme="majorHAnsi" w:eastAsiaTheme="majorEastAsia" w:hAnsiTheme="majorHAnsi" w:cstheme="majorBidi"/>
      <w:color w:val="152C3B" w:themeColor="accent2" w:themeShade="BF"/>
      <w:sz w:val="32"/>
      <w:szCs w:val="32"/>
    </w:rPr>
  </w:style>
  <w:style w:type="paragraph" w:styleId="Heading4">
    <w:name w:val="heading 4"/>
    <w:basedOn w:val="Normal"/>
    <w:next w:val="Normal"/>
    <w:link w:val="Heading4Char"/>
    <w:uiPriority w:val="9"/>
    <w:semiHidden/>
    <w:unhideWhenUsed/>
    <w:qFormat/>
    <w:rsid w:val="00BC2E00"/>
    <w:pPr>
      <w:keepNext/>
      <w:keepLines/>
      <w:spacing w:before="80" w:after="0" w:line="240" w:lineRule="auto"/>
      <w:outlineLvl w:val="3"/>
    </w:pPr>
    <w:rPr>
      <w:rFonts w:asciiTheme="majorHAnsi" w:eastAsiaTheme="majorEastAsia" w:hAnsiTheme="majorHAnsi" w:cstheme="majorBidi"/>
      <w:i/>
      <w:iCs/>
      <w:color w:val="0E1D27" w:themeColor="accent2" w:themeShade="80"/>
      <w:sz w:val="28"/>
      <w:szCs w:val="28"/>
    </w:rPr>
  </w:style>
  <w:style w:type="paragraph" w:styleId="Heading5">
    <w:name w:val="heading 5"/>
    <w:basedOn w:val="Normal"/>
    <w:next w:val="Normal"/>
    <w:link w:val="Heading5Char"/>
    <w:uiPriority w:val="9"/>
    <w:semiHidden/>
    <w:unhideWhenUsed/>
    <w:qFormat/>
    <w:rsid w:val="00BC2E00"/>
    <w:pPr>
      <w:keepNext/>
      <w:keepLines/>
      <w:spacing w:before="80" w:after="0" w:line="240" w:lineRule="auto"/>
      <w:outlineLvl w:val="4"/>
    </w:pPr>
    <w:rPr>
      <w:rFonts w:asciiTheme="majorHAnsi" w:eastAsiaTheme="majorEastAsia" w:hAnsiTheme="majorHAnsi" w:cstheme="majorBidi"/>
      <w:color w:val="152C3B" w:themeColor="accent2" w:themeShade="BF"/>
      <w:sz w:val="24"/>
      <w:szCs w:val="24"/>
    </w:rPr>
  </w:style>
  <w:style w:type="paragraph" w:styleId="Heading6">
    <w:name w:val="heading 6"/>
    <w:basedOn w:val="Normal"/>
    <w:next w:val="Normal"/>
    <w:link w:val="Heading6Char"/>
    <w:uiPriority w:val="9"/>
    <w:semiHidden/>
    <w:unhideWhenUsed/>
    <w:qFormat/>
    <w:rsid w:val="00BC2E00"/>
    <w:pPr>
      <w:keepNext/>
      <w:keepLines/>
      <w:spacing w:before="80" w:after="0" w:line="240" w:lineRule="auto"/>
      <w:outlineLvl w:val="5"/>
    </w:pPr>
    <w:rPr>
      <w:rFonts w:asciiTheme="majorHAnsi" w:eastAsiaTheme="majorEastAsia" w:hAnsiTheme="majorHAnsi" w:cstheme="majorBidi"/>
      <w:i/>
      <w:iCs/>
      <w:color w:val="0E1D27" w:themeColor="accent2" w:themeShade="80"/>
      <w:sz w:val="24"/>
      <w:szCs w:val="24"/>
    </w:rPr>
  </w:style>
  <w:style w:type="paragraph" w:styleId="Heading7">
    <w:name w:val="heading 7"/>
    <w:basedOn w:val="Normal"/>
    <w:next w:val="Normal"/>
    <w:link w:val="Heading7Char"/>
    <w:uiPriority w:val="9"/>
    <w:semiHidden/>
    <w:unhideWhenUsed/>
    <w:qFormat/>
    <w:rsid w:val="00BC2E00"/>
    <w:pPr>
      <w:keepNext/>
      <w:keepLines/>
      <w:spacing w:before="80" w:after="0" w:line="240" w:lineRule="auto"/>
      <w:outlineLvl w:val="6"/>
    </w:pPr>
    <w:rPr>
      <w:rFonts w:asciiTheme="majorHAnsi" w:eastAsiaTheme="majorEastAsia" w:hAnsiTheme="majorHAnsi" w:cstheme="majorBidi"/>
      <w:b/>
      <w:bCs/>
      <w:color w:val="0E1D27" w:themeColor="accent2" w:themeShade="80"/>
      <w:sz w:val="22"/>
      <w:szCs w:val="22"/>
    </w:rPr>
  </w:style>
  <w:style w:type="paragraph" w:styleId="Heading8">
    <w:name w:val="heading 8"/>
    <w:basedOn w:val="Normal"/>
    <w:next w:val="Normal"/>
    <w:link w:val="Heading8Char"/>
    <w:uiPriority w:val="9"/>
    <w:semiHidden/>
    <w:unhideWhenUsed/>
    <w:qFormat/>
    <w:rsid w:val="00BC2E00"/>
    <w:pPr>
      <w:keepNext/>
      <w:keepLines/>
      <w:spacing w:before="80" w:after="0" w:line="240" w:lineRule="auto"/>
      <w:outlineLvl w:val="7"/>
    </w:pPr>
    <w:rPr>
      <w:rFonts w:asciiTheme="majorHAnsi" w:eastAsiaTheme="majorEastAsia" w:hAnsiTheme="majorHAnsi" w:cstheme="majorBidi"/>
      <w:color w:val="0E1D27" w:themeColor="accent2" w:themeShade="80"/>
      <w:sz w:val="22"/>
      <w:szCs w:val="22"/>
    </w:rPr>
  </w:style>
  <w:style w:type="paragraph" w:styleId="Heading9">
    <w:name w:val="heading 9"/>
    <w:basedOn w:val="Normal"/>
    <w:next w:val="Normal"/>
    <w:link w:val="Heading9Char"/>
    <w:uiPriority w:val="9"/>
    <w:semiHidden/>
    <w:unhideWhenUsed/>
    <w:qFormat/>
    <w:rsid w:val="00BC2E00"/>
    <w:pPr>
      <w:keepNext/>
      <w:keepLines/>
      <w:spacing w:before="80" w:after="0" w:line="240" w:lineRule="auto"/>
      <w:outlineLvl w:val="8"/>
    </w:pPr>
    <w:rPr>
      <w:rFonts w:asciiTheme="majorHAnsi" w:eastAsiaTheme="majorEastAsia" w:hAnsiTheme="majorHAnsi" w:cstheme="majorBidi"/>
      <w:i/>
      <w:iCs/>
      <w:color w:val="0E1D27"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2E00"/>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BC2E00"/>
    <w:rPr>
      <w:rFonts w:asciiTheme="majorHAnsi" w:eastAsiaTheme="majorEastAsia" w:hAnsiTheme="majorHAnsi" w:cstheme="majorBidi"/>
      <w:color w:val="1C3C50" w:themeColor="accent2"/>
      <w:sz w:val="36"/>
      <w:szCs w:val="36"/>
    </w:rPr>
  </w:style>
  <w:style w:type="character" w:customStyle="1" w:styleId="Heading3Char">
    <w:name w:val="Heading 3 Char"/>
    <w:basedOn w:val="DefaultParagraphFont"/>
    <w:link w:val="Heading3"/>
    <w:uiPriority w:val="9"/>
    <w:semiHidden/>
    <w:rsid w:val="00BC2E00"/>
    <w:rPr>
      <w:rFonts w:asciiTheme="majorHAnsi" w:eastAsiaTheme="majorEastAsia" w:hAnsiTheme="majorHAnsi" w:cstheme="majorBidi"/>
      <w:color w:val="152C3B" w:themeColor="accent2" w:themeShade="BF"/>
      <w:sz w:val="32"/>
      <w:szCs w:val="32"/>
    </w:rPr>
  </w:style>
  <w:style w:type="character" w:customStyle="1" w:styleId="Heading4Char">
    <w:name w:val="Heading 4 Char"/>
    <w:basedOn w:val="DefaultParagraphFont"/>
    <w:link w:val="Heading4"/>
    <w:uiPriority w:val="9"/>
    <w:semiHidden/>
    <w:rsid w:val="00BC2E00"/>
    <w:rPr>
      <w:rFonts w:asciiTheme="majorHAnsi" w:eastAsiaTheme="majorEastAsia" w:hAnsiTheme="majorHAnsi" w:cstheme="majorBidi"/>
      <w:i/>
      <w:iCs/>
      <w:color w:val="0E1D27" w:themeColor="accent2" w:themeShade="80"/>
      <w:sz w:val="28"/>
      <w:szCs w:val="28"/>
    </w:rPr>
  </w:style>
  <w:style w:type="character" w:customStyle="1" w:styleId="Heading5Char">
    <w:name w:val="Heading 5 Char"/>
    <w:basedOn w:val="DefaultParagraphFont"/>
    <w:link w:val="Heading5"/>
    <w:uiPriority w:val="9"/>
    <w:semiHidden/>
    <w:rsid w:val="00BC2E00"/>
    <w:rPr>
      <w:rFonts w:asciiTheme="majorHAnsi" w:eastAsiaTheme="majorEastAsia" w:hAnsiTheme="majorHAnsi" w:cstheme="majorBidi"/>
      <w:color w:val="152C3B" w:themeColor="accent2" w:themeShade="BF"/>
      <w:sz w:val="24"/>
      <w:szCs w:val="24"/>
    </w:rPr>
  </w:style>
  <w:style w:type="character" w:customStyle="1" w:styleId="Heading6Char">
    <w:name w:val="Heading 6 Char"/>
    <w:basedOn w:val="DefaultParagraphFont"/>
    <w:link w:val="Heading6"/>
    <w:uiPriority w:val="9"/>
    <w:semiHidden/>
    <w:rsid w:val="00BC2E00"/>
    <w:rPr>
      <w:rFonts w:asciiTheme="majorHAnsi" w:eastAsiaTheme="majorEastAsia" w:hAnsiTheme="majorHAnsi" w:cstheme="majorBidi"/>
      <w:i/>
      <w:iCs/>
      <w:color w:val="0E1D27" w:themeColor="accent2" w:themeShade="80"/>
      <w:sz w:val="24"/>
      <w:szCs w:val="24"/>
    </w:rPr>
  </w:style>
  <w:style w:type="character" w:customStyle="1" w:styleId="Heading7Char">
    <w:name w:val="Heading 7 Char"/>
    <w:basedOn w:val="DefaultParagraphFont"/>
    <w:link w:val="Heading7"/>
    <w:uiPriority w:val="9"/>
    <w:semiHidden/>
    <w:rsid w:val="00BC2E00"/>
    <w:rPr>
      <w:rFonts w:asciiTheme="majorHAnsi" w:eastAsiaTheme="majorEastAsia" w:hAnsiTheme="majorHAnsi" w:cstheme="majorBidi"/>
      <w:b/>
      <w:bCs/>
      <w:color w:val="0E1D27" w:themeColor="accent2" w:themeShade="80"/>
    </w:rPr>
  </w:style>
  <w:style w:type="character" w:customStyle="1" w:styleId="Heading8Char">
    <w:name w:val="Heading 8 Char"/>
    <w:basedOn w:val="DefaultParagraphFont"/>
    <w:link w:val="Heading8"/>
    <w:uiPriority w:val="9"/>
    <w:semiHidden/>
    <w:rsid w:val="00BC2E00"/>
    <w:rPr>
      <w:rFonts w:asciiTheme="majorHAnsi" w:eastAsiaTheme="majorEastAsia" w:hAnsiTheme="majorHAnsi" w:cstheme="majorBidi"/>
      <w:color w:val="0E1D27" w:themeColor="accent2" w:themeShade="80"/>
    </w:rPr>
  </w:style>
  <w:style w:type="character" w:customStyle="1" w:styleId="Heading9Char">
    <w:name w:val="Heading 9 Char"/>
    <w:basedOn w:val="DefaultParagraphFont"/>
    <w:link w:val="Heading9"/>
    <w:uiPriority w:val="9"/>
    <w:semiHidden/>
    <w:rsid w:val="00BC2E00"/>
    <w:rPr>
      <w:rFonts w:asciiTheme="majorHAnsi" w:eastAsiaTheme="majorEastAsia" w:hAnsiTheme="majorHAnsi" w:cstheme="majorBidi"/>
      <w:i/>
      <w:iCs/>
      <w:color w:val="0E1D27" w:themeColor="accent2" w:themeShade="80"/>
    </w:rPr>
  </w:style>
  <w:style w:type="paragraph" w:styleId="Caption">
    <w:name w:val="caption"/>
    <w:basedOn w:val="Normal"/>
    <w:next w:val="Normal"/>
    <w:uiPriority w:val="35"/>
    <w:semiHidden/>
    <w:unhideWhenUsed/>
    <w:qFormat/>
    <w:rsid w:val="00BC2E00"/>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BC2E00"/>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BC2E00"/>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BC2E00"/>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BC2E00"/>
    <w:rPr>
      <w:rFonts w:eastAsiaTheme="minorEastAsia"/>
      <w:caps/>
      <w:color w:val="404040" w:themeColor="text1" w:themeTint="BF"/>
      <w:spacing w:val="20"/>
      <w:sz w:val="28"/>
      <w:szCs w:val="28"/>
    </w:rPr>
  </w:style>
  <w:style w:type="character" w:styleId="Strong">
    <w:name w:val="Strong"/>
    <w:basedOn w:val="DefaultParagraphFont"/>
    <w:uiPriority w:val="22"/>
    <w:qFormat/>
    <w:rsid w:val="00BC2E00"/>
    <w:rPr>
      <w:b/>
      <w:bCs/>
    </w:rPr>
  </w:style>
  <w:style w:type="character" w:styleId="Emphasis">
    <w:name w:val="Emphasis"/>
    <w:basedOn w:val="DefaultParagraphFont"/>
    <w:uiPriority w:val="20"/>
    <w:qFormat/>
    <w:rsid w:val="00BC2E00"/>
    <w:rPr>
      <w:i/>
      <w:iCs/>
      <w:color w:val="000000" w:themeColor="text1"/>
    </w:rPr>
  </w:style>
  <w:style w:type="paragraph" w:styleId="NoSpacing">
    <w:name w:val="No Spacing"/>
    <w:link w:val="NoSpacingChar"/>
    <w:uiPriority w:val="1"/>
    <w:qFormat/>
    <w:rsid w:val="00BC2E00"/>
    <w:pPr>
      <w:spacing w:after="0"/>
    </w:pPr>
    <w:rPr>
      <w:rFonts w:eastAsiaTheme="minorEastAsia"/>
      <w:sz w:val="21"/>
      <w:szCs w:val="21"/>
    </w:rPr>
  </w:style>
  <w:style w:type="paragraph" w:styleId="Quote">
    <w:name w:val="Quote"/>
    <w:basedOn w:val="Normal"/>
    <w:next w:val="Normal"/>
    <w:link w:val="QuoteChar"/>
    <w:uiPriority w:val="29"/>
    <w:qFormat/>
    <w:rsid w:val="00BC2E00"/>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BC2E00"/>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BC2E00"/>
    <w:pPr>
      <w:pBdr>
        <w:top w:val="single" w:sz="24" w:space="4" w:color="1C3C50"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BC2E00"/>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BC2E00"/>
    <w:rPr>
      <w:i/>
      <w:iCs/>
      <w:color w:val="595959" w:themeColor="text1" w:themeTint="A6"/>
    </w:rPr>
  </w:style>
  <w:style w:type="character" w:styleId="IntenseEmphasis">
    <w:name w:val="Intense Emphasis"/>
    <w:basedOn w:val="DefaultParagraphFont"/>
    <w:uiPriority w:val="21"/>
    <w:qFormat/>
    <w:rsid w:val="00BC2E00"/>
    <w:rPr>
      <w:b/>
      <w:bCs/>
      <w:i/>
      <w:iCs/>
      <w:caps w:val="0"/>
      <w:smallCaps w:val="0"/>
      <w:strike w:val="0"/>
      <w:dstrike w:val="0"/>
      <w:color w:val="1C3C50" w:themeColor="accent2"/>
    </w:rPr>
  </w:style>
  <w:style w:type="character" w:styleId="SubtleReference">
    <w:name w:val="Subtle Reference"/>
    <w:basedOn w:val="DefaultParagraphFont"/>
    <w:uiPriority w:val="31"/>
    <w:qFormat/>
    <w:rsid w:val="00BC2E0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C2E00"/>
    <w:rPr>
      <w:b/>
      <w:bCs/>
      <w:caps w:val="0"/>
      <w:smallCaps/>
      <w:color w:val="auto"/>
      <w:spacing w:val="0"/>
      <w:u w:val="single"/>
    </w:rPr>
  </w:style>
  <w:style w:type="character" w:styleId="BookTitle">
    <w:name w:val="Book Title"/>
    <w:basedOn w:val="DefaultParagraphFont"/>
    <w:uiPriority w:val="33"/>
    <w:qFormat/>
    <w:rsid w:val="00BC2E00"/>
    <w:rPr>
      <w:b/>
      <w:bCs/>
      <w:caps w:val="0"/>
      <w:smallCaps/>
      <w:spacing w:val="0"/>
    </w:rPr>
  </w:style>
  <w:style w:type="paragraph" w:styleId="TOCHeading">
    <w:name w:val="TOC Heading"/>
    <w:basedOn w:val="Heading1"/>
    <w:next w:val="Normal"/>
    <w:uiPriority w:val="39"/>
    <w:semiHidden/>
    <w:unhideWhenUsed/>
    <w:qFormat/>
    <w:rsid w:val="00BC2E00"/>
    <w:pPr>
      <w:outlineLvl w:val="9"/>
    </w:pPr>
  </w:style>
  <w:style w:type="paragraph" w:styleId="Header">
    <w:name w:val="header"/>
    <w:basedOn w:val="Normal"/>
    <w:link w:val="HeaderChar"/>
    <w:uiPriority w:val="99"/>
    <w:unhideWhenUsed/>
    <w:rsid w:val="005B5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6F2"/>
    <w:rPr>
      <w:rFonts w:eastAsiaTheme="minorEastAsia"/>
      <w:sz w:val="21"/>
      <w:szCs w:val="21"/>
    </w:rPr>
  </w:style>
  <w:style w:type="paragraph" w:styleId="Footer">
    <w:name w:val="footer"/>
    <w:basedOn w:val="Normal"/>
    <w:link w:val="FooterChar"/>
    <w:uiPriority w:val="99"/>
    <w:unhideWhenUsed/>
    <w:rsid w:val="005B5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6F2"/>
    <w:rPr>
      <w:rFonts w:eastAsiaTheme="minorEastAsia"/>
      <w:sz w:val="21"/>
      <w:szCs w:val="21"/>
    </w:rPr>
  </w:style>
  <w:style w:type="character" w:styleId="Hyperlink">
    <w:name w:val="Hyperlink"/>
    <w:basedOn w:val="DefaultParagraphFont"/>
    <w:uiPriority w:val="99"/>
    <w:unhideWhenUsed/>
    <w:rsid w:val="00FF577E"/>
    <w:rPr>
      <w:color w:val="304F21" w:themeColor="hyperlink"/>
      <w:u w:val="single"/>
    </w:rPr>
  </w:style>
  <w:style w:type="character" w:styleId="FootnoteReference">
    <w:name w:val="footnote reference"/>
    <w:basedOn w:val="DefaultParagraphFont"/>
    <w:uiPriority w:val="99"/>
    <w:unhideWhenUsed/>
    <w:rsid w:val="00FF577E"/>
    <w:rPr>
      <w:vertAlign w:val="superscript"/>
    </w:rPr>
  </w:style>
  <w:style w:type="paragraph" w:styleId="FootnoteText">
    <w:name w:val="footnote text"/>
    <w:basedOn w:val="Normal"/>
    <w:link w:val="FootnoteTextChar"/>
    <w:uiPriority w:val="99"/>
    <w:semiHidden/>
    <w:unhideWhenUsed/>
    <w:rsid w:val="00FF577E"/>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FF577E"/>
    <w:rPr>
      <w:sz w:val="20"/>
      <w:szCs w:val="20"/>
    </w:rPr>
  </w:style>
  <w:style w:type="table" w:styleId="TableGrid">
    <w:name w:val="Table Grid"/>
    <w:basedOn w:val="TableNormal"/>
    <w:uiPriority w:val="59"/>
    <w:rsid w:val="00FF577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F577E"/>
    <w:rPr>
      <w:rFonts w:eastAsiaTheme="minorEastAsia"/>
      <w:sz w:val="21"/>
      <w:szCs w:val="21"/>
    </w:rPr>
  </w:style>
  <w:style w:type="character" w:styleId="UnresolvedMention">
    <w:name w:val="Unresolved Mention"/>
    <w:basedOn w:val="DefaultParagraphFont"/>
    <w:uiPriority w:val="99"/>
    <w:semiHidden/>
    <w:unhideWhenUsed/>
    <w:rsid w:val="000E161A"/>
    <w:rPr>
      <w:color w:val="605E5C"/>
      <w:shd w:val="clear" w:color="auto" w:fill="E1DFDD"/>
    </w:rPr>
  </w:style>
  <w:style w:type="paragraph" w:customStyle="1" w:styleId="Default">
    <w:name w:val="Default"/>
    <w:rsid w:val="00E553CC"/>
    <w:pPr>
      <w:autoSpaceDE w:val="0"/>
      <w:autoSpaceDN w:val="0"/>
      <w:adjustRightInd w:val="0"/>
      <w:spacing w:after="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8177E8"/>
    <w:rPr>
      <w:color w:val="49773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09215">
      <w:bodyDiv w:val="1"/>
      <w:marLeft w:val="0"/>
      <w:marRight w:val="0"/>
      <w:marTop w:val="0"/>
      <w:marBottom w:val="0"/>
      <w:divBdr>
        <w:top w:val="none" w:sz="0" w:space="0" w:color="auto"/>
        <w:left w:val="none" w:sz="0" w:space="0" w:color="auto"/>
        <w:bottom w:val="none" w:sz="0" w:space="0" w:color="auto"/>
        <w:right w:val="none" w:sz="0" w:space="0" w:color="auto"/>
      </w:divBdr>
      <w:divsChild>
        <w:div w:id="385685078">
          <w:marLeft w:val="360"/>
          <w:marRight w:val="0"/>
          <w:marTop w:val="200"/>
          <w:marBottom w:val="0"/>
          <w:divBdr>
            <w:top w:val="none" w:sz="0" w:space="0" w:color="auto"/>
            <w:left w:val="none" w:sz="0" w:space="0" w:color="auto"/>
            <w:bottom w:val="none" w:sz="0" w:space="0" w:color="auto"/>
            <w:right w:val="none" w:sz="0" w:space="0" w:color="auto"/>
          </w:divBdr>
        </w:div>
      </w:divsChild>
    </w:div>
    <w:div w:id="53748636">
      <w:bodyDiv w:val="1"/>
      <w:marLeft w:val="0"/>
      <w:marRight w:val="0"/>
      <w:marTop w:val="0"/>
      <w:marBottom w:val="0"/>
      <w:divBdr>
        <w:top w:val="none" w:sz="0" w:space="0" w:color="auto"/>
        <w:left w:val="none" w:sz="0" w:space="0" w:color="auto"/>
        <w:bottom w:val="none" w:sz="0" w:space="0" w:color="auto"/>
        <w:right w:val="none" w:sz="0" w:space="0" w:color="auto"/>
      </w:divBdr>
      <w:divsChild>
        <w:div w:id="937634752">
          <w:marLeft w:val="360"/>
          <w:marRight w:val="0"/>
          <w:marTop w:val="200"/>
          <w:marBottom w:val="0"/>
          <w:divBdr>
            <w:top w:val="none" w:sz="0" w:space="0" w:color="auto"/>
            <w:left w:val="none" w:sz="0" w:space="0" w:color="auto"/>
            <w:bottom w:val="none" w:sz="0" w:space="0" w:color="auto"/>
            <w:right w:val="none" w:sz="0" w:space="0" w:color="auto"/>
          </w:divBdr>
        </w:div>
        <w:div w:id="517275815">
          <w:marLeft w:val="360"/>
          <w:marRight w:val="0"/>
          <w:marTop w:val="200"/>
          <w:marBottom w:val="0"/>
          <w:divBdr>
            <w:top w:val="none" w:sz="0" w:space="0" w:color="auto"/>
            <w:left w:val="none" w:sz="0" w:space="0" w:color="auto"/>
            <w:bottom w:val="none" w:sz="0" w:space="0" w:color="auto"/>
            <w:right w:val="none" w:sz="0" w:space="0" w:color="auto"/>
          </w:divBdr>
        </w:div>
      </w:divsChild>
    </w:div>
    <w:div w:id="64107241">
      <w:bodyDiv w:val="1"/>
      <w:marLeft w:val="0"/>
      <w:marRight w:val="0"/>
      <w:marTop w:val="0"/>
      <w:marBottom w:val="0"/>
      <w:divBdr>
        <w:top w:val="none" w:sz="0" w:space="0" w:color="auto"/>
        <w:left w:val="none" w:sz="0" w:space="0" w:color="auto"/>
        <w:bottom w:val="none" w:sz="0" w:space="0" w:color="auto"/>
        <w:right w:val="none" w:sz="0" w:space="0" w:color="auto"/>
      </w:divBdr>
      <w:divsChild>
        <w:div w:id="102918885">
          <w:marLeft w:val="360"/>
          <w:marRight w:val="0"/>
          <w:marTop w:val="200"/>
          <w:marBottom w:val="0"/>
          <w:divBdr>
            <w:top w:val="none" w:sz="0" w:space="0" w:color="auto"/>
            <w:left w:val="none" w:sz="0" w:space="0" w:color="auto"/>
            <w:bottom w:val="none" w:sz="0" w:space="0" w:color="auto"/>
            <w:right w:val="none" w:sz="0" w:space="0" w:color="auto"/>
          </w:divBdr>
        </w:div>
      </w:divsChild>
    </w:div>
    <w:div w:id="229194089">
      <w:bodyDiv w:val="1"/>
      <w:marLeft w:val="0"/>
      <w:marRight w:val="0"/>
      <w:marTop w:val="0"/>
      <w:marBottom w:val="0"/>
      <w:divBdr>
        <w:top w:val="none" w:sz="0" w:space="0" w:color="auto"/>
        <w:left w:val="none" w:sz="0" w:space="0" w:color="auto"/>
        <w:bottom w:val="none" w:sz="0" w:space="0" w:color="auto"/>
        <w:right w:val="none" w:sz="0" w:space="0" w:color="auto"/>
      </w:divBdr>
      <w:divsChild>
        <w:div w:id="1877234494">
          <w:marLeft w:val="360"/>
          <w:marRight w:val="0"/>
          <w:marTop w:val="200"/>
          <w:marBottom w:val="0"/>
          <w:divBdr>
            <w:top w:val="none" w:sz="0" w:space="0" w:color="auto"/>
            <w:left w:val="none" w:sz="0" w:space="0" w:color="auto"/>
            <w:bottom w:val="none" w:sz="0" w:space="0" w:color="auto"/>
            <w:right w:val="none" w:sz="0" w:space="0" w:color="auto"/>
          </w:divBdr>
        </w:div>
      </w:divsChild>
    </w:div>
    <w:div w:id="253322803">
      <w:bodyDiv w:val="1"/>
      <w:marLeft w:val="0"/>
      <w:marRight w:val="0"/>
      <w:marTop w:val="0"/>
      <w:marBottom w:val="0"/>
      <w:divBdr>
        <w:top w:val="none" w:sz="0" w:space="0" w:color="auto"/>
        <w:left w:val="none" w:sz="0" w:space="0" w:color="auto"/>
        <w:bottom w:val="none" w:sz="0" w:space="0" w:color="auto"/>
        <w:right w:val="none" w:sz="0" w:space="0" w:color="auto"/>
      </w:divBdr>
      <w:divsChild>
        <w:div w:id="1823960302">
          <w:marLeft w:val="360"/>
          <w:marRight w:val="0"/>
          <w:marTop w:val="200"/>
          <w:marBottom w:val="0"/>
          <w:divBdr>
            <w:top w:val="none" w:sz="0" w:space="0" w:color="auto"/>
            <w:left w:val="none" w:sz="0" w:space="0" w:color="auto"/>
            <w:bottom w:val="none" w:sz="0" w:space="0" w:color="auto"/>
            <w:right w:val="none" w:sz="0" w:space="0" w:color="auto"/>
          </w:divBdr>
        </w:div>
      </w:divsChild>
    </w:div>
    <w:div w:id="392432420">
      <w:bodyDiv w:val="1"/>
      <w:marLeft w:val="0"/>
      <w:marRight w:val="0"/>
      <w:marTop w:val="0"/>
      <w:marBottom w:val="0"/>
      <w:divBdr>
        <w:top w:val="none" w:sz="0" w:space="0" w:color="auto"/>
        <w:left w:val="none" w:sz="0" w:space="0" w:color="auto"/>
        <w:bottom w:val="none" w:sz="0" w:space="0" w:color="auto"/>
        <w:right w:val="none" w:sz="0" w:space="0" w:color="auto"/>
      </w:divBdr>
      <w:divsChild>
        <w:div w:id="2041662727">
          <w:marLeft w:val="360"/>
          <w:marRight w:val="0"/>
          <w:marTop w:val="200"/>
          <w:marBottom w:val="0"/>
          <w:divBdr>
            <w:top w:val="none" w:sz="0" w:space="0" w:color="auto"/>
            <w:left w:val="none" w:sz="0" w:space="0" w:color="auto"/>
            <w:bottom w:val="none" w:sz="0" w:space="0" w:color="auto"/>
            <w:right w:val="none" w:sz="0" w:space="0" w:color="auto"/>
          </w:divBdr>
        </w:div>
      </w:divsChild>
    </w:div>
    <w:div w:id="448742826">
      <w:bodyDiv w:val="1"/>
      <w:marLeft w:val="0"/>
      <w:marRight w:val="0"/>
      <w:marTop w:val="0"/>
      <w:marBottom w:val="0"/>
      <w:divBdr>
        <w:top w:val="none" w:sz="0" w:space="0" w:color="auto"/>
        <w:left w:val="none" w:sz="0" w:space="0" w:color="auto"/>
        <w:bottom w:val="none" w:sz="0" w:space="0" w:color="auto"/>
        <w:right w:val="none" w:sz="0" w:space="0" w:color="auto"/>
      </w:divBdr>
      <w:divsChild>
        <w:div w:id="1143545024">
          <w:marLeft w:val="360"/>
          <w:marRight w:val="0"/>
          <w:marTop w:val="200"/>
          <w:marBottom w:val="0"/>
          <w:divBdr>
            <w:top w:val="none" w:sz="0" w:space="0" w:color="auto"/>
            <w:left w:val="none" w:sz="0" w:space="0" w:color="auto"/>
            <w:bottom w:val="none" w:sz="0" w:space="0" w:color="auto"/>
            <w:right w:val="none" w:sz="0" w:space="0" w:color="auto"/>
          </w:divBdr>
        </w:div>
        <w:div w:id="59984688">
          <w:marLeft w:val="360"/>
          <w:marRight w:val="0"/>
          <w:marTop w:val="200"/>
          <w:marBottom w:val="0"/>
          <w:divBdr>
            <w:top w:val="none" w:sz="0" w:space="0" w:color="auto"/>
            <w:left w:val="none" w:sz="0" w:space="0" w:color="auto"/>
            <w:bottom w:val="none" w:sz="0" w:space="0" w:color="auto"/>
            <w:right w:val="none" w:sz="0" w:space="0" w:color="auto"/>
          </w:divBdr>
        </w:div>
      </w:divsChild>
    </w:div>
    <w:div w:id="521626752">
      <w:bodyDiv w:val="1"/>
      <w:marLeft w:val="0"/>
      <w:marRight w:val="0"/>
      <w:marTop w:val="0"/>
      <w:marBottom w:val="0"/>
      <w:divBdr>
        <w:top w:val="none" w:sz="0" w:space="0" w:color="auto"/>
        <w:left w:val="none" w:sz="0" w:space="0" w:color="auto"/>
        <w:bottom w:val="none" w:sz="0" w:space="0" w:color="auto"/>
        <w:right w:val="none" w:sz="0" w:space="0" w:color="auto"/>
      </w:divBdr>
      <w:divsChild>
        <w:div w:id="771126541">
          <w:marLeft w:val="360"/>
          <w:marRight w:val="0"/>
          <w:marTop w:val="200"/>
          <w:marBottom w:val="0"/>
          <w:divBdr>
            <w:top w:val="none" w:sz="0" w:space="0" w:color="auto"/>
            <w:left w:val="none" w:sz="0" w:space="0" w:color="auto"/>
            <w:bottom w:val="none" w:sz="0" w:space="0" w:color="auto"/>
            <w:right w:val="none" w:sz="0" w:space="0" w:color="auto"/>
          </w:divBdr>
        </w:div>
        <w:div w:id="2132165264">
          <w:marLeft w:val="1080"/>
          <w:marRight w:val="0"/>
          <w:marTop w:val="100"/>
          <w:marBottom w:val="0"/>
          <w:divBdr>
            <w:top w:val="none" w:sz="0" w:space="0" w:color="auto"/>
            <w:left w:val="none" w:sz="0" w:space="0" w:color="auto"/>
            <w:bottom w:val="none" w:sz="0" w:space="0" w:color="auto"/>
            <w:right w:val="none" w:sz="0" w:space="0" w:color="auto"/>
          </w:divBdr>
        </w:div>
      </w:divsChild>
    </w:div>
    <w:div w:id="669724064">
      <w:bodyDiv w:val="1"/>
      <w:marLeft w:val="0"/>
      <w:marRight w:val="0"/>
      <w:marTop w:val="0"/>
      <w:marBottom w:val="0"/>
      <w:divBdr>
        <w:top w:val="none" w:sz="0" w:space="0" w:color="auto"/>
        <w:left w:val="none" w:sz="0" w:space="0" w:color="auto"/>
        <w:bottom w:val="none" w:sz="0" w:space="0" w:color="auto"/>
        <w:right w:val="none" w:sz="0" w:space="0" w:color="auto"/>
      </w:divBdr>
      <w:divsChild>
        <w:div w:id="256181914">
          <w:marLeft w:val="360"/>
          <w:marRight w:val="0"/>
          <w:marTop w:val="200"/>
          <w:marBottom w:val="0"/>
          <w:divBdr>
            <w:top w:val="none" w:sz="0" w:space="0" w:color="auto"/>
            <w:left w:val="none" w:sz="0" w:space="0" w:color="auto"/>
            <w:bottom w:val="none" w:sz="0" w:space="0" w:color="auto"/>
            <w:right w:val="none" w:sz="0" w:space="0" w:color="auto"/>
          </w:divBdr>
        </w:div>
        <w:div w:id="478348569">
          <w:marLeft w:val="360"/>
          <w:marRight w:val="0"/>
          <w:marTop w:val="200"/>
          <w:marBottom w:val="0"/>
          <w:divBdr>
            <w:top w:val="none" w:sz="0" w:space="0" w:color="auto"/>
            <w:left w:val="none" w:sz="0" w:space="0" w:color="auto"/>
            <w:bottom w:val="none" w:sz="0" w:space="0" w:color="auto"/>
            <w:right w:val="none" w:sz="0" w:space="0" w:color="auto"/>
          </w:divBdr>
        </w:div>
      </w:divsChild>
    </w:div>
    <w:div w:id="799302045">
      <w:bodyDiv w:val="1"/>
      <w:marLeft w:val="0"/>
      <w:marRight w:val="0"/>
      <w:marTop w:val="0"/>
      <w:marBottom w:val="0"/>
      <w:divBdr>
        <w:top w:val="none" w:sz="0" w:space="0" w:color="auto"/>
        <w:left w:val="none" w:sz="0" w:space="0" w:color="auto"/>
        <w:bottom w:val="none" w:sz="0" w:space="0" w:color="auto"/>
        <w:right w:val="none" w:sz="0" w:space="0" w:color="auto"/>
      </w:divBdr>
      <w:divsChild>
        <w:div w:id="1581210695">
          <w:marLeft w:val="360"/>
          <w:marRight w:val="0"/>
          <w:marTop w:val="200"/>
          <w:marBottom w:val="0"/>
          <w:divBdr>
            <w:top w:val="none" w:sz="0" w:space="0" w:color="auto"/>
            <w:left w:val="none" w:sz="0" w:space="0" w:color="auto"/>
            <w:bottom w:val="none" w:sz="0" w:space="0" w:color="auto"/>
            <w:right w:val="none" w:sz="0" w:space="0" w:color="auto"/>
          </w:divBdr>
        </w:div>
      </w:divsChild>
    </w:div>
    <w:div w:id="800153689">
      <w:bodyDiv w:val="1"/>
      <w:marLeft w:val="0"/>
      <w:marRight w:val="0"/>
      <w:marTop w:val="0"/>
      <w:marBottom w:val="0"/>
      <w:divBdr>
        <w:top w:val="none" w:sz="0" w:space="0" w:color="auto"/>
        <w:left w:val="none" w:sz="0" w:space="0" w:color="auto"/>
        <w:bottom w:val="none" w:sz="0" w:space="0" w:color="auto"/>
        <w:right w:val="none" w:sz="0" w:space="0" w:color="auto"/>
      </w:divBdr>
      <w:divsChild>
        <w:div w:id="1957128411">
          <w:marLeft w:val="360"/>
          <w:marRight w:val="0"/>
          <w:marTop w:val="200"/>
          <w:marBottom w:val="0"/>
          <w:divBdr>
            <w:top w:val="none" w:sz="0" w:space="0" w:color="auto"/>
            <w:left w:val="none" w:sz="0" w:space="0" w:color="auto"/>
            <w:bottom w:val="none" w:sz="0" w:space="0" w:color="auto"/>
            <w:right w:val="none" w:sz="0" w:space="0" w:color="auto"/>
          </w:divBdr>
        </w:div>
      </w:divsChild>
    </w:div>
    <w:div w:id="1090200913">
      <w:bodyDiv w:val="1"/>
      <w:marLeft w:val="0"/>
      <w:marRight w:val="0"/>
      <w:marTop w:val="0"/>
      <w:marBottom w:val="0"/>
      <w:divBdr>
        <w:top w:val="none" w:sz="0" w:space="0" w:color="auto"/>
        <w:left w:val="none" w:sz="0" w:space="0" w:color="auto"/>
        <w:bottom w:val="none" w:sz="0" w:space="0" w:color="auto"/>
        <w:right w:val="none" w:sz="0" w:space="0" w:color="auto"/>
      </w:divBdr>
      <w:divsChild>
        <w:div w:id="1110465878">
          <w:marLeft w:val="360"/>
          <w:marRight w:val="0"/>
          <w:marTop w:val="200"/>
          <w:marBottom w:val="0"/>
          <w:divBdr>
            <w:top w:val="none" w:sz="0" w:space="0" w:color="auto"/>
            <w:left w:val="none" w:sz="0" w:space="0" w:color="auto"/>
            <w:bottom w:val="none" w:sz="0" w:space="0" w:color="auto"/>
            <w:right w:val="none" w:sz="0" w:space="0" w:color="auto"/>
          </w:divBdr>
        </w:div>
      </w:divsChild>
    </w:div>
    <w:div w:id="1276526113">
      <w:bodyDiv w:val="1"/>
      <w:marLeft w:val="0"/>
      <w:marRight w:val="0"/>
      <w:marTop w:val="0"/>
      <w:marBottom w:val="0"/>
      <w:divBdr>
        <w:top w:val="none" w:sz="0" w:space="0" w:color="auto"/>
        <w:left w:val="none" w:sz="0" w:space="0" w:color="auto"/>
        <w:bottom w:val="none" w:sz="0" w:space="0" w:color="auto"/>
        <w:right w:val="none" w:sz="0" w:space="0" w:color="auto"/>
      </w:divBdr>
      <w:divsChild>
        <w:div w:id="2092507233">
          <w:marLeft w:val="360"/>
          <w:marRight w:val="0"/>
          <w:marTop w:val="200"/>
          <w:marBottom w:val="0"/>
          <w:divBdr>
            <w:top w:val="none" w:sz="0" w:space="0" w:color="auto"/>
            <w:left w:val="none" w:sz="0" w:space="0" w:color="auto"/>
            <w:bottom w:val="none" w:sz="0" w:space="0" w:color="auto"/>
            <w:right w:val="none" w:sz="0" w:space="0" w:color="auto"/>
          </w:divBdr>
        </w:div>
        <w:div w:id="1803571486">
          <w:marLeft w:val="1080"/>
          <w:marRight w:val="0"/>
          <w:marTop w:val="100"/>
          <w:marBottom w:val="0"/>
          <w:divBdr>
            <w:top w:val="none" w:sz="0" w:space="0" w:color="auto"/>
            <w:left w:val="none" w:sz="0" w:space="0" w:color="auto"/>
            <w:bottom w:val="none" w:sz="0" w:space="0" w:color="auto"/>
            <w:right w:val="none" w:sz="0" w:space="0" w:color="auto"/>
          </w:divBdr>
        </w:div>
        <w:div w:id="1777018644">
          <w:marLeft w:val="360"/>
          <w:marRight w:val="0"/>
          <w:marTop w:val="200"/>
          <w:marBottom w:val="0"/>
          <w:divBdr>
            <w:top w:val="none" w:sz="0" w:space="0" w:color="auto"/>
            <w:left w:val="none" w:sz="0" w:space="0" w:color="auto"/>
            <w:bottom w:val="none" w:sz="0" w:space="0" w:color="auto"/>
            <w:right w:val="none" w:sz="0" w:space="0" w:color="auto"/>
          </w:divBdr>
        </w:div>
      </w:divsChild>
    </w:div>
    <w:div w:id="1278442426">
      <w:bodyDiv w:val="1"/>
      <w:marLeft w:val="0"/>
      <w:marRight w:val="0"/>
      <w:marTop w:val="0"/>
      <w:marBottom w:val="0"/>
      <w:divBdr>
        <w:top w:val="none" w:sz="0" w:space="0" w:color="auto"/>
        <w:left w:val="none" w:sz="0" w:space="0" w:color="auto"/>
        <w:bottom w:val="none" w:sz="0" w:space="0" w:color="auto"/>
        <w:right w:val="none" w:sz="0" w:space="0" w:color="auto"/>
      </w:divBdr>
      <w:divsChild>
        <w:div w:id="808976663">
          <w:marLeft w:val="360"/>
          <w:marRight w:val="0"/>
          <w:marTop w:val="200"/>
          <w:marBottom w:val="0"/>
          <w:divBdr>
            <w:top w:val="none" w:sz="0" w:space="0" w:color="auto"/>
            <w:left w:val="none" w:sz="0" w:space="0" w:color="auto"/>
            <w:bottom w:val="none" w:sz="0" w:space="0" w:color="auto"/>
            <w:right w:val="none" w:sz="0" w:space="0" w:color="auto"/>
          </w:divBdr>
        </w:div>
      </w:divsChild>
    </w:div>
    <w:div w:id="1305813046">
      <w:bodyDiv w:val="1"/>
      <w:marLeft w:val="0"/>
      <w:marRight w:val="0"/>
      <w:marTop w:val="0"/>
      <w:marBottom w:val="0"/>
      <w:divBdr>
        <w:top w:val="none" w:sz="0" w:space="0" w:color="auto"/>
        <w:left w:val="none" w:sz="0" w:space="0" w:color="auto"/>
        <w:bottom w:val="none" w:sz="0" w:space="0" w:color="auto"/>
        <w:right w:val="none" w:sz="0" w:space="0" w:color="auto"/>
      </w:divBdr>
      <w:divsChild>
        <w:div w:id="462232857">
          <w:marLeft w:val="360"/>
          <w:marRight w:val="0"/>
          <w:marTop w:val="200"/>
          <w:marBottom w:val="0"/>
          <w:divBdr>
            <w:top w:val="none" w:sz="0" w:space="0" w:color="auto"/>
            <w:left w:val="none" w:sz="0" w:space="0" w:color="auto"/>
            <w:bottom w:val="none" w:sz="0" w:space="0" w:color="auto"/>
            <w:right w:val="none" w:sz="0" w:space="0" w:color="auto"/>
          </w:divBdr>
        </w:div>
      </w:divsChild>
    </w:div>
    <w:div w:id="1379938800">
      <w:bodyDiv w:val="1"/>
      <w:marLeft w:val="0"/>
      <w:marRight w:val="0"/>
      <w:marTop w:val="0"/>
      <w:marBottom w:val="0"/>
      <w:divBdr>
        <w:top w:val="none" w:sz="0" w:space="0" w:color="auto"/>
        <w:left w:val="none" w:sz="0" w:space="0" w:color="auto"/>
        <w:bottom w:val="none" w:sz="0" w:space="0" w:color="auto"/>
        <w:right w:val="none" w:sz="0" w:space="0" w:color="auto"/>
      </w:divBdr>
      <w:divsChild>
        <w:div w:id="871307034">
          <w:marLeft w:val="360"/>
          <w:marRight w:val="0"/>
          <w:marTop w:val="200"/>
          <w:marBottom w:val="0"/>
          <w:divBdr>
            <w:top w:val="none" w:sz="0" w:space="0" w:color="auto"/>
            <w:left w:val="none" w:sz="0" w:space="0" w:color="auto"/>
            <w:bottom w:val="none" w:sz="0" w:space="0" w:color="auto"/>
            <w:right w:val="none" w:sz="0" w:space="0" w:color="auto"/>
          </w:divBdr>
        </w:div>
      </w:divsChild>
    </w:div>
    <w:div w:id="1461991014">
      <w:bodyDiv w:val="1"/>
      <w:marLeft w:val="0"/>
      <w:marRight w:val="0"/>
      <w:marTop w:val="0"/>
      <w:marBottom w:val="0"/>
      <w:divBdr>
        <w:top w:val="none" w:sz="0" w:space="0" w:color="auto"/>
        <w:left w:val="none" w:sz="0" w:space="0" w:color="auto"/>
        <w:bottom w:val="none" w:sz="0" w:space="0" w:color="auto"/>
        <w:right w:val="none" w:sz="0" w:space="0" w:color="auto"/>
      </w:divBdr>
      <w:divsChild>
        <w:div w:id="296767926">
          <w:marLeft w:val="360"/>
          <w:marRight w:val="0"/>
          <w:marTop w:val="200"/>
          <w:marBottom w:val="0"/>
          <w:divBdr>
            <w:top w:val="none" w:sz="0" w:space="0" w:color="auto"/>
            <w:left w:val="none" w:sz="0" w:space="0" w:color="auto"/>
            <w:bottom w:val="none" w:sz="0" w:space="0" w:color="auto"/>
            <w:right w:val="none" w:sz="0" w:space="0" w:color="auto"/>
          </w:divBdr>
        </w:div>
        <w:div w:id="1671904843">
          <w:marLeft w:val="1080"/>
          <w:marRight w:val="0"/>
          <w:marTop w:val="100"/>
          <w:marBottom w:val="0"/>
          <w:divBdr>
            <w:top w:val="none" w:sz="0" w:space="0" w:color="auto"/>
            <w:left w:val="none" w:sz="0" w:space="0" w:color="auto"/>
            <w:bottom w:val="none" w:sz="0" w:space="0" w:color="auto"/>
            <w:right w:val="none" w:sz="0" w:space="0" w:color="auto"/>
          </w:divBdr>
        </w:div>
      </w:divsChild>
    </w:div>
    <w:div w:id="1507288586">
      <w:bodyDiv w:val="1"/>
      <w:marLeft w:val="0"/>
      <w:marRight w:val="0"/>
      <w:marTop w:val="0"/>
      <w:marBottom w:val="0"/>
      <w:divBdr>
        <w:top w:val="none" w:sz="0" w:space="0" w:color="auto"/>
        <w:left w:val="none" w:sz="0" w:space="0" w:color="auto"/>
        <w:bottom w:val="none" w:sz="0" w:space="0" w:color="auto"/>
        <w:right w:val="none" w:sz="0" w:space="0" w:color="auto"/>
      </w:divBdr>
      <w:divsChild>
        <w:div w:id="986783291">
          <w:marLeft w:val="360"/>
          <w:marRight w:val="0"/>
          <w:marTop w:val="200"/>
          <w:marBottom w:val="0"/>
          <w:divBdr>
            <w:top w:val="none" w:sz="0" w:space="0" w:color="auto"/>
            <w:left w:val="none" w:sz="0" w:space="0" w:color="auto"/>
            <w:bottom w:val="none" w:sz="0" w:space="0" w:color="auto"/>
            <w:right w:val="none" w:sz="0" w:space="0" w:color="auto"/>
          </w:divBdr>
        </w:div>
      </w:divsChild>
    </w:div>
    <w:div w:id="1673869752">
      <w:bodyDiv w:val="1"/>
      <w:marLeft w:val="0"/>
      <w:marRight w:val="0"/>
      <w:marTop w:val="0"/>
      <w:marBottom w:val="0"/>
      <w:divBdr>
        <w:top w:val="none" w:sz="0" w:space="0" w:color="auto"/>
        <w:left w:val="none" w:sz="0" w:space="0" w:color="auto"/>
        <w:bottom w:val="none" w:sz="0" w:space="0" w:color="auto"/>
        <w:right w:val="none" w:sz="0" w:space="0" w:color="auto"/>
      </w:divBdr>
      <w:divsChild>
        <w:div w:id="402797274">
          <w:marLeft w:val="360"/>
          <w:marRight w:val="0"/>
          <w:marTop w:val="200"/>
          <w:marBottom w:val="0"/>
          <w:divBdr>
            <w:top w:val="none" w:sz="0" w:space="0" w:color="auto"/>
            <w:left w:val="none" w:sz="0" w:space="0" w:color="auto"/>
            <w:bottom w:val="none" w:sz="0" w:space="0" w:color="auto"/>
            <w:right w:val="none" w:sz="0" w:space="0" w:color="auto"/>
          </w:divBdr>
        </w:div>
      </w:divsChild>
    </w:div>
    <w:div w:id="1750537122">
      <w:bodyDiv w:val="1"/>
      <w:marLeft w:val="0"/>
      <w:marRight w:val="0"/>
      <w:marTop w:val="0"/>
      <w:marBottom w:val="0"/>
      <w:divBdr>
        <w:top w:val="none" w:sz="0" w:space="0" w:color="auto"/>
        <w:left w:val="none" w:sz="0" w:space="0" w:color="auto"/>
        <w:bottom w:val="none" w:sz="0" w:space="0" w:color="auto"/>
        <w:right w:val="none" w:sz="0" w:space="0" w:color="auto"/>
      </w:divBdr>
      <w:divsChild>
        <w:div w:id="1906990202">
          <w:marLeft w:val="360"/>
          <w:marRight w:val="0"/>
          <w:marTop w:val="200"/>
          <w:marBottom w:val="0"/>
          <w:divBdr>
            <w:top w:val="none" w:sz="0" w:space="0" w:color="auto"/>
            <w:left w:val="none" w:sz="0" w:space="0" w:color="auto"/>
            <w:bottom w:val="none" w:sz="0" w:space="0" w:color="auto"/>
            <w:right w:val="none" w:sz="0" w:space="0" w:color="auto"/>
          </w:divBdr>
        </w:div>
      </w:divsChild>
    </w:div>
    <w:div w:id="1834485005">
      <w:bodyDiv w:val="1"/>
      <w:marLeft w:val="0"/>
      <w:marRight w:val="0"/>
      <w:marTop w:val="0"/>
      <w:marBottom w:val="0"/>
      <w:divBdr>
        <w:top w:val="none" w:sz="0" w:space="0" w:color="auto"/>
        <w:left w:val="none" w:sz="0" w:space="0" w:color="auto"/>
        <w:bottom w:val="none" w:sz="0" w:space="0" w:color="auto"/>
        <w:right w:val="none" w:sz="0" w:space="0" w:color="auto"/>
      </w:divBdr>
      <w:divsChild>
        <w:div w:id="492838699">
          <w:marLeft w:val="360"/>
          <w:marRight w:val="0"/>
          <w:marTop w:val="200"/>
          <w:marBottom w:val="0"/>
          <w:divBdr>
            <w:top w:val="none" w:sz="0" w:space="0" w:color="auto"/>
            <w:left w:val="none" w:sz="0" w:space="0" w:color="auto"/>
            <w:bottom w:val="none" w:sz="0" w:space="0" w:color="auto"/>
            <w:right w:val="none" w:sz="0" w:space="0" w:color="auto"/>
          </w:divBdr>
        </w:div>
        <w:div w:id="1217745348">
          <w:marLeft w:val="1080"/>
          <w:marRight w:val="0"/>
          <w:marTop w:val="100"/>
          <w:marBottom w:val="0"/>
          <w:divBdr>
            <w:top w:val="none" w:sz="0" w:space="0" w:color="auto"/>
            <w:left w:val="none" w:sz="0" w:space="0" w:color="auto"/>
            <w:bottom w:val="none" w:sz="0" w:space="0" w:color="auto"/>
            <w:right w:val="none" w:sz="0" w:space="0" w:color="auto"/>
          </w:divBdr>
        </w:div>
      </w:divsChild>
    </w:div>
    <w:div w:id="1869875737">
      <w:bodyDiv w:val="1"/>
      <w:marLeft w:val="0"/>
      <w:marRight w:val="0"/>
      <w:marTop w:val="0"/>
      <w:marBottom w:val="0"/>
      <w:divBdr>
        <w:top w:val="none" w:sz="0" w:space="0" w:color="auto"/>
        <w:left w:val="none" w:sz="0" w:space="0" w:color="auto"/>
        <w:bottom w:val="none" w:sz="0" w:space="0" w:color="auto"/>
        <w:right w:val="none" w:sz="0" w:space="0" w:color="auto"/>
      </w:divBdr>
      <w:divsChild>
        <w:div w:id="884877004">
          <w:marLeft w:val="360"/>
          <w:marRight w:val="0"/>
          <w:marTop w:val="200"/>
          <w:marBottom w:val="0"/>
          <w:divBdr>
            <w:top w:val="none" w:sz="0" w:space="0" w:color="auto"/>
            <w:left w:val="none" w:sz="0" w:space="0" w:color="auto"/>
            <w:bottom w:val="none" w:sz="0" w:space="0" w:color="auto"/>
            <w:right w:val="none" w:sz="0" w:space="0" w:color="auto"/>
          </w:divBdr>
        </w:div>
      </w:divsChild>
    </w:div>
    <w:div w:id="1954704961">
      <w:bodyDiv w:val="1"/>
      <w:marLeft w:val="0"/>
      <w:marRight w:val="0"/>
      <w:marTop w:val="0"/>
      <w:marBottom w:val="0"/>
      <w:divBdr>
        <w:top w:val="none" w:sz="0" w:space="0" w:color="auto"/>
        <w:left w:val="none" w:sz="0" w:space="0" w:color="auto"/>
        <w:bottom w:val="none" w:sz="0" w:space="0" w:color="auto"/>
        <w:right w:val="none" w:sz="0" w:space="0" w:color="auto"/>
      </w:divBdr>
      <w:divsChild>
        <w:div w:id="1082143117">
          <w:marLeft w:val="360"/>
          <w:marRight w:val="0"/>
          <w:marTop w:val="200"/>
          <w:marBottom w:val="0"/>
          <w:divBdr>
            <w:top w:val="none" w:sz="0" w:space="0" w:color="auto"/>
            <w:left w:val="none" w:sz="0" w:space="0" w:color="auto"/>
            <w:bottom w:val="none" w:sz="0" w:space="0" w:color="auto"/>
            <w:right w:val="none" w:sz="0" w:space="0" w:color="auto"/>
          </w:divBdr>
        </w:div>
      </w:divsChild>
    </w:div>
    <w:div w:id="1973705211">
      <w:bodyDiv w:val="1"/>
      <w:marLeft w:val="0"/>
      <w:marRight w:val="0"/>
      <w:marTop w:val="0"/>
      <w:marBottom w:val="0"/>
      <w:divBdr>
        <w:top w:val="none" w:sz="0" w:space="0" w:color="auto"/>
        <w:left w:val="none" w:sz="0" w:space="0" w:color="auto"/>
        <w:bottom w:val="none" w:sz="0" w:space="0" w:color="auto"/>
        <w:right w:val="none" w:sz="0" w:space="0" w:color="auto"/>
      </w:divBdr>
      <w:divsChild>
        <w:div w:id="2067992423">
          <w:marLeft w:val="360"/>
          <w:marRight w:val="0"/>
          <w:marTop w:val="200"/>
          <w:marBottom w:val="0"/>
          <w:divBdr>
            <w:top w:val="none" w:sz="0" w:space="0" w:color="auto"/>
            <w:left w:val="none" w:sz="0" w:space="0" w:color="auto"/>
            <w:bottom w:val="none" w:sz="0" w:space="0" w:color="auto"/>
            <w:right w:val="none" w:sz="0" w:space="0" w:color="auto"/>
          </w:divBdr>
        </w:div>
      </w:divsChild>
    </w:div>
    <w:div w:id="1986086585">
      <w:bodyDiv w:val="1"/>
      <w:marLeft w:val="0"/>
      <w:marRight w:val="0"/>
      <w:marTop w:val="0"/>
      <w:marBottom w:val="0"/>
      <w:divBdr>
        <w:top w:val="none" w:sz="0" w:space="0" w:color="auto"/>
        <w:left w:val="none" w:sz="0" w:space="0" w:color="auto"/>
        <w:bottom w:val="none" w:sz="0" w:space="0" w:color="auto"/>
        <w:right w:val="none" w:sz="0" w:space="0" w:color="auto"/>
      </w:divBdr>
      <w:divsChild>
        <w:div w:id="894976484">
          <w:marLeft w:val="360"/>
          <w:marRight w:val="0"/>
          <w:marTop w:val="200"/>
          <w:marBottom w:val="0"/>
          <w:divBdr>
            <w:top w:val="none" w:sz="0" w:space="0" w:color="auto"/>
            <w:left w:val="none" w:sz="0" w:space="0" w:color="auto"/>
            <w:bottom w:val="none" w:sz="0" w:space="0" w:color="auto"/>
            <w:right w:val="none" w:sz="0" w:space="0" w:color="auto"/>
          </w:divBdr>
        </w:div>
      </w:divsChild>
    </w:div>
    <w:div w:id="2084522872">
      <w:bodyDiv w:val="1"/>
      <w:marLeft w:val="0"/>
      <w:marRight w:val="0"/>
      <w:marTop w:val="0"/>
      <w:marBottom w:val="0"/>
      <w:divBdr>
        <w:top w:val="none" w:sz="0" w:space="0" w:color="auto"/>
        <w:left w:val="none" w:sz="0" w:space="0" w:color="auto"/>
        <w:bottom w:val="none" w:sz="0" w:space="0" w:color="auto"/>
        <w:right w:val="none" w:sz="0" w:space="0" w:color="auto"/>
      </w:divBdr>
      <w:divsChild>
        <w:div w:id="183306385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mregistries.org/measurement-improvement"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lthit.gov/sites/default/files/page/2019-04/ONC-TEFCA_FINAL_InfoSheets_StatesPublicHealth.pdf"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it.gov/sites/default/files/page/2019-04/TEFCADraft2UsersGuide.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healthit.gov/isa/us-core-data-interoperability-uscd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bkurilo@immregistries.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thecommunityguide.org/sites/default/files/publications/vpd-jphpm-evrev-II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IRA Main Style">
      <a:dk1>
        <a:sysClr val="windowText" lastClr="000000"/>
      </a:dk1>
      <a:lt1>
        <a:sysClr val="window" lastClr="FFFFFF"/>
      </a:lt1>
      <a:dk2>
        <a:srgbClr val="1C3C50"/>
      </a:dk2>
      <a:lt2>
        <a:srgbClr val="CCCCCB"/>
      </a:lt2>
      <a:accent1>
        <a:srgbClr val="629F44"/>
      </a:accent1>
      <a:accent2>
        <a:srgbClr val="1C3C50"/>
      </a:accent2>
      <a:accent3>
        <a:srgbClr val="8098A4"/>
      </a:accent3>
      <a:accent4>
        <a:srgbClr val="C9E2CA"/>
      </a:accent4>
      <a:accent5>
        <a:srgbClr val="ECBC0A"/>
      </a:accent5>
      <a:accent6>
        <a:srgbClr val="F2F2F2"/>
      </a:accent6>
      <a:hlink>
        <a:srgbClr val="304F21"/>
      </a:hlink>
      <a:folHlink>
        <a:srgbClr val="497733"/>
      </a:folHlink>
    </a:clrScheme>
    <a:fontScheme name="AIRA Main Style">
      <a:majorFont>
        <a:latin typeface="Open Sans Light"/>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AA9A6-AD4D-43CD-8532-7A886F19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3814</Words>
  <Characters>21744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Carmela Gupta</dc:creator>
  <cp:keywords/>
  <dc:description/>
  <cp:lastModifiedBy>Mary Beth Kurilo</cp:lastModifiedBy>
  <cp:revision>14</cp:revision>
  <dcterms:created xsi:type="dcterms:W3CDTF">2019-05-30T18:49:00Z</dcterms:created>
  <dcterms:modified xsi:type="dcterms:W3CDTF">2019-05-30T19:04:00Z</dcterms:modified>
</cp:coreProperties>
</file>