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07421C" w14:textId="4EA43D60" w:rsidR="00151C7F" w:rsidRPr="00B24572" w:rsidRDefault="009B0862" w:rsidP="004C302D">
      <w:pPr>
        <w:pStyle w:val="NoSpacing"/>
        <w:rPr>
          <w:rFonts w:ascii="Roboto Black" w:hAnsi="Roboto Black" w:cs="Open Sans Light"/>
          <w:color w:val="1C3C50" w:themeColor="text2"/>
          <w:sz w:val="36"/>
          <w:szCs w:val="36"/>
        </w:rPr>
      </w:pPr>
      <w:r w:rsidRPr="00B24572">
        <w:rPr>
          <w:rFonts w:ascii="Roboto Black" w:hAnsi="Roboto Black" w:cs="Open Sans Light"/>
          <w:color w:val="1C3C50" w:themeColor="text2"/>
          <w:sz w:val="36"/>
          <w:szCs w:val="36"/>
        </w:rPr>
        <w:t xml:space="preserve">Supporting Providers in </w:t>
      </w:r>
      <w:r w:rsidR="00151C7F" w:rsidRPr="00B24572">
        <w:rPr>
          <w:rFonts w:ascii="Roboto Black" w:hAnsi="Roboto Black" w:cs="Open Sans Light"/>
          <w:color w:val="1C3C50" w:themeColor="text2"/>
          <w:sz w:val="36"/>
          <w:szCs w:val="36"/>
        </w:rPr>
        <w:t xml:space="preserve">Documenting </w:t>
      </w:r>
      <w:r w:rsidR="00782765" w:rsidRPr="00B24572">
        <w:rPr>
          <w:rFonts w:ascii="Roboto Black" w:hAnsi="Roboto Black" w:cs="Open Sans Light"/>
          <w:color w:val="1C3C50" w:themeColor="text2"/>
          <w:sz w:val="36"/>
          <w:szCs w:val="36"/>
        </w:rPr>
        <w:t xml:space="preserve">COVID-19 Vaccine </w:t>
      </w:r>
      <w:r w:rsidR="00151C7F" w:rsidRPr="00B24572">
        <w:rPr>
          <w:rFonts w:ascii="Roboto Black" w:hAnsi="Roboto Black" w:cs="Open Sans Light"/>
          <w:color w:val="1C3C50" w:themeColor="text2"/>
          <w:sz w:val="36"/>
          <w:szCs w:val="36"/>
        </w:rPr>
        <w:t>Administration</w:t>
      </w:r>
    </w:p>
    <w:p w14:paraId="3231E024" w14:textId="77777777" w:rsidR="000472E3" w:rsidRDefault="000472E3" w:rsidP="004C302D">
      <w:pPr>
        <w:pStyle w:val="NoSpacing"/>
      </w:pPr>
    </w:p>
    <w:p w14:paraId="56039C10" w14:textId="63C90782" w:rsidR="000472E3" w:rsidRDefault="000472E3" w:rsidP="004C302D">
      <w:pPr>
        <w:pStyle w:val="NoSpacing"/>
      </w:pPr>
      <w:r>
        <w:t>Issued: 12/15/2020</w:t>
      </w:r>
    </w:p>
    <w:p w14:paraId="7C95163B" w14:textId="1D315733" w:rsidR="00C14B7C" w:rsidRDefault="000472E3" w:rsidP="004C302D">
      <w:pPr>
        <w:pStyle w:val="NoSpacing"/>
      </w:pPr>
      <w:r>
        <w:t>Updated: 12</w:t>
      </w:r>
      <w:r w:rsidRPr="00C14B7C">
        <w:t>/</w:t>
      </w:r>
      <w:r w:rsidR="00C14B7C">
        <w:t>18</w:t>
      </w:r>
      <w:r w:rsidRPr="00364127">
        <w:t>/</w:t>
      </w:r>
      <w:r>
        <w:t>2020</w:t>
      </w:r>
    </w:p>
    <w:p w14:paraId="307FD29D" w14:textId="2FCC4AC3" w:rsidR="001D1A62" w:rsidRDefault="00C14B7C" w:rsidP="004C302D">
      <w:pPr>
        <w:pStyle w:val="NoSpacing"/>
      </w:pPr>
      <w:r>
        <w:t>Version 1.1</w:t>
      </w:r>
      <w:r w:rsidR="000472E3">
        <w:t xml:space="preserve"> </w:t>
      </w:r>
    </w:p>
    <w:p w14:paraId="3FD4DA57" w14:textId="77777777" w:rsidR="000472E3" w:rsidRDefault="000472E3" w:rsidP="00486015"/>
    <w:p w14:paraId="58A41CA7" w14:textId="08EB13FA" w:rsidR="00486015" w:rsidRDefault="00CB18C6" w:rsidP="00B24572">
      <w:pPr>
        <w:spacing w:after="0"/>
      </w:pPr>
      <w:r>
        <w:t>AIRA</w:t>
      </w:r>
      <w:r w:rsidR="00486015">
        <w:t xml:space="preserve"> recognize</w:t>
      </w:r>
      <w:r>
        <w:t>s</w:t>
      </w:r>
      <w:r w:rsidR="00486015">
        <w:t xml:space="preserve"> there are unique data elements required for COVID-19 vaccine administration and reporting that will impact you and providers in your jurisdiction. </w:t>
      </w:r>
      <w:r w:rsidR="002F7D66">
        <w:t>Included in this document are</w:t>
      </w:r>
      <w:r w:rsidR="00486015">
        <w:t xml:space="preserve"> tips </w:t>
      </w:r>
      <w:r w:rsidR="002F7D66">
        <w:t xml:space="preserve">and information </w:t>
      </w:r>
      <w:r w:rsidR="00486015">
        <w:t xml:space="preserve">about documenting COVID-19 vaccine administration to both help prepare you for what you may see reported and help you communicate these unique aspects with your providers. </w:t>
      </w:r>
    </w:p>
    <w:p w14:paraId="3ECAD054" w14:textId="77777777" w:rsidR="00486015" w:rsidRDefault="00486015" w:rsidP="001D1A62">
      <w:pPr>
        <w:pStyle w:val="NoSpacing"/>
      </w:pPr>
    </w:p>
    <w:p w14:paraId="32BF8B7B" w14:textId="2AEC1ABF" w:rsidR="00151C7F" w:rsidRDefault="001D1A62" w:rsidP="001D1A62">
      <w:pPr>
        <w:pStyle w:val="NoSpacing"/>
      </w:pPr>
      <w:r>
        <w:t>CDC requires vaccination providers enrolled in the COVID-19 Vaccination Program</w:t>
      </w:r>
      <w:r w:rsidR="001A4293">
        <w:t xml:space="preserve"> to</w:t>
      </w:r>
      <w:r>
        <w:t xml:space="preserve"> report certain data elements for each dose administered</w:t>
      </w:r>
      <w:r w:rsidR="004D5427">
        <w:t>, and there are some unique aspects to some of these data elements</w:t>
      </w:r>
      <w:r>
        <w:t>. To ensure complete and accurate data</w:t>
      </w:r>
      <w:r w:rsidR="001A4293">
        <w:t xml:space="preserve"> reporting</w:t>
      </w:r>
      <w:r>
        <w:t xml:space="preserve">, </w:t>
      </w:r>
      <w:r w:rsidR="004D5427">
        <w:t xml:space="preserve">we encourage you to </w:t>
      </w:r>
      <w:r>
        <w:t>familiarize yourself with th</w:t>
      </w:r>
      <w:r w:rsidR="00A86965">
        <w:t xml:space="preserve">e </w:t>
      </w:r>
      <w:r w:rsidR="001A4293">
        <w:t>information</w:t>
      </w:r>
      <w:r w:rsidR="00A86965">
        <w:t xml:space="preserve"> below</w:t>
      </w:r>
      <w:r w:rsidR="001A4293">
        <w:t xml:space="preserve"> and stay tuned for additional updates.</w:t>
      </w:r>
    </w:p>
    <w:p w14:paraId="7956BB3B" w14:textId="77777777" w:rsidR="00151C7F" w:rsidRDefault="00151C7F" w:rsidP="004C302D">
      <w:pPr>
        <w:pStyle w:val="NoSpacing"/>
      </w:pPr>
    </w:p>
    <w:p w14:paraId="0F59C690" w14:textId="65ACD2B6" w:rsidR="0083700B" w:rsidRPr="0083700B" w:rsidRDefault="009B0862" w:rsidP="004C302D">
      <w:pPr>
        <w:pStyle w:val="NoSpacing"/>
        <w:rPr>
          <w:b/>
          <w:bCs/>
          <w:color w:val="B08B07" w:themeColor="accent5" w:themeShade="BF"/>
          <w:sz w:val="24"/>
          <w:szCs w:val="24"/>
        </w:rPr>
      </w:pPr>
      <w:r>
        <w:rPr>
          <w:b/>
          <w:bCs/>
          <w:color w:val="B08B07" w:themeColor="accent5" w:themeShade="BF"/>
          <w:sz w:val="24"/>
          <w:szCs w:val="24"/>
        </w:rPr>
        <w:t>The vaccine</w:t>
      </w:r>
      <w:r w:rsidR="0062589C">
        <w:rPr>
          <w:b/>
          <w:bCs/>
          <w:color w:val="B08B07" w:themeColor="accent5" w:themeShade="BF"/>
          <w:sz w:val="24"/>
          <w:szCs w:val="24"/>
        </w:rPr>
        <w:t xml:space="preserve"> expiration date is a required data element that </w:t>
      </w:r>
      <w:r w:rsidR="00401E9D">
        <w:rPr>
          <w:b/>
          <w:bCs/>
          <w:color w:val="B08B07" w:themeColor="accent5" w:themeShade="BF"/>
          <w:sz w:val="24"/>
          <w:szCs w:val="24"/>
        </w:rPr>
        <w:t>must be submitted with vaccine reporting</w:t>
      </w:r>
      <w:r w:rsidR="0083700B" w:rsidRPr="0083700B">
        <w:rPr>
          <w:b/>
          <w:bCs/>
          <w:color w:val="B08B07" w:themeColor="accent5" w:themeShade="BF"/>
          <w:sz w:val="24"/>
          <w:szCs w:val="24"/>
        </w:rPr>
        <w:t>.</w:t>
      </w:r>
    </w:p>
    <w:p w14:paraId="3827A0B0" w14:textId="77777777" w:rsidR="00FB12BB" w:rsidRDefault="004515F4" w:rsidP="007A2030">
      <w:pPr>
        <w:pStyle w:val="NoSpacing"/>
        <w:numPr>
          <w:ilvl w:val="0"/>
          <w:numId w:val="2"/>
        </w:numPr>
      </w:pPr>
      <w:r>
        <w:t>The location of the v</w:t>
      </w:r>
      <w:r w:rsidR="001D1A62" w:rsidRPr="0083700B">
        <w:t xml:space="preserve">accine expiration date </w:t>
      </w:r>
      <w:r w:rsidR="00AE0A81">
        <w:t>could</w:t>
      </w:r>
      <w:r w:rsidR="0083700B" w:rsidRPr="0083700B">
        <w:t xml:space="preserve"> </w:t>
      </w:r>
      <w:r>
        <w:t xml:space="preserve">vary by vaccine brand. </w:t>
      </w:r>
      <w:r w:rsidR="00FB12BB">
        <w:t xml:space="preserve">Expiration dates </w:t>
      </w:r>
      <w:r w:rsidR="00FB12BB" w:rsidRPr="008400F2">
        <w:t xml:space="preserve">may </w:t>
      </w:r>
      <w:r w:rsidR="00FB12BB">
        <w:t>be located</w:t>
      </w:r>
      <w:r w:rsidR="00FB12BB" w:rsidRPr="008400F2">
        <w:t xml:space="preserve"> on the vial</w:t>
      </w:r>
      <w:r w:rsidR="00FB12BB">
        <w:t>s,</w:t>
      </w:r>
      <w:r w:rsidR="00FB12BB" w:rsidRPr="008400F2">
        <w:t xml:space="preserve"> </w:t>
      </w:r>
      <w:r w:rsidR="00FB12BB">
        <w:t xml:space="preserve">or on the vaccine </w:t>
      </w:r>
      <w:r w:rsidR="00FB12BB" w:rsidRPr="008400F2">
        <w:t>packag</w:t>
      </w:r>
      <w:r w:rsidR="00FB12BB">
        <w:t xml:space="preserve">ing/carton, or only be </w:t>
      </w:r>
      <w:r w:rsidR="00FB12BB" w:rsidRPr="002456B8">
        <w:t xml:space="preserve">available </w:t>
      </w:r>
      <w:r w:rsidR="00FB12BB">
        <w:t xml:space="preserve">by scanning </w:t>
      </w:r>
      <w:r w:rsidR="00FB12BB" w:rsidRPr="002456B8">
        <w:t>a 2D barcode.</w:t>
      </w:r>
    </w:p>
    <w:p w14:paraId="1C370EEA" w14:textId="5244BF77" w:rsidR="002456B8" w:rsidRDefault="002456B8" w:rsidP="007A2030">
      <w:pPr>
        <w:pStyle w:val="NoSpacing"/>
        <w:numPr>
          <w:ilvl w:val="0"/>
          <w:numId w:val="2"/>
        </w:numPr>
      </w:pPr>
      <w:r>
        <w:t>E</w:t>
      </w:r>
      <w:r w:rsidR="008400F2" w:rsidRPr="008400F2">
        <w:t>xpiration date</w:t>
      </w:r>
      <w:r>
        <w:t>s</w:t>
      </w:r>
      <w:r w:rsidR="008400F2" w:rsidRPr="008400F2">
        <w:t xml:space="preserve"> printed o</w:t>
      </w:r>
      <w:r w:rsidR="008400F2">
        <w:t>n</w:t>
      </w:r>
      <w:r w:rsidR="008400F2" w:rsidRPr="008400F2">
        <w:t xml:space="preserve"> </w:t>
      </w:r>
      <w:r>
        <w:t xml:space="preserve">initial </w:t>
      </w:r>
      <w:r w:rsidR="008400F2" w:rsidRPr="008400F2">
        <w:t>COVID</w:t>
      </w:r>
      <w:r w:rsidR="00364127">
        <w:t>-19</w:t>
      </w:r>
      <w:r w:rsidR="008400F2" w:rsidRPr="008400F2">
        <w:t xml:space="preserve"> vaccine</w:t>
      </w:r>
      <w:r w:rsidR="008400F2">
        <w:t>s</w:t>
      </w:r>
      <w:r w:rsidR="008400F2" w:rsidRPr="008400F2">
        <w:t xml:space="preserve"> </w:t>
      </w:r>
      <w:r w:rsidR="00FB12BB">
        <w:t>may represent</w:t>
      </w:r>
      <w:r w:rsidR="008400F2" w:rsidRPr="008400F2">
        <w:t xml:space="preserve"> placeholder</w:t>
      </w:r>
      <w:r w:rsidR="00FB12BB">
        <w:t xml:space="preserve"> dates</w:t>
      </w:r>
      <w:r w:rsidR="008400F2" w:rsidRPr="008400F2">
        <w:t xml:space="preserve"> </w:t>
      </w:r>
      <w:r w:rsidR="008400F2">
        <w:t xml:space="preserve">(for </w:t>
      </w:r>
      <w:r w:rsidR="00364127">
        <w:t>example</w:t>
      </w:r>
      <w:r w:rsidR="008400F2">
        <w:t xml:space="preserve">, </w:t>
      </w:r>
      <w:r w:rsidR="008400F2" w:rsidRPr="008400F2">
        <w:t>12/31/2069</w:t>
      </w:r>
      <w:r w:rsidR="00FB12BB">
        <w:t>),</w:t>
      </w:r>
      <w:r w:rsidR="00FB12BB" w:rsidRPr="00FB12BB">
        <w:rPr>
          <w:rFonts w:eastAsia="Times New Roman"/>
          <w:color w:val="000000"/>
        </w:rPr>
        <w:t xml:space="preserve"> </w:t>
      </w:r>
      <w:r w:rsidR="00FB12BB">
        <w:rPr>
          <w:rFonts w:eastAsia="Times New Roman"/>
          <w:color w:val="000000"/>
        </w:rPr>
        <w:t>since this information may have been unknown when the vaccine was manufactured</w:t>
      </w:r>
      <w:r w:rsidR="008400F2">
        <w:t>.</w:t>
      </w:r>
      <w:r>
        <w:t xml:space="preserve"> </w:t>
      </w:r>
      <w:r w:rsidR="006E6BA4">
        <w:t xml:space="preserve">This placeholder date will likely be the date sent in the shipping file from </w:t>
      </w:r>
      <w:proofErr w:type="spellStart"/>
      <w:r w:rsidR="006E6BA4">
        <w:t>VTrckS</w:t>
      </w:r>
      <w:proofErr w:type="spellEnd"/>
      <w:r w:rsidR="006E6BA4">
        <w:t xml:space="preserve"> to the IIS.</w:t>
      </w:r>
    </w:p>
    <w:p w14:paraId="4AFBD43E" w14:textId="32722A7F" w:rsidR="000472E3" w:rsidRDefault="000472E3" w:rsidP="002456B8">
      <w:pPr>
        <w:pStyle w:val="ListParagraph"/>
        <w:numPr>
          <w:ilvl w:val="0"/>
          <w:numId w:val="2"/>
        </w:numPr>
        <w:spacing w:after="0"/>
      </w:pPr>
      <w:r>
        <w:t>All vaccine manufacture</w:t>
      </w:r>
      <w:r w:rsidR="00364127">
        <w:t>r</w:t>
      </w:r>
      <w:r>
        <w:t>s are required to use a QR code that will connect to the manufacturer’s site so that providers can access real time information.</w:t>
      </w:r>
    </w:p>
    <w:p w14:paraId="78138F14" w14:textId="6A0D8BFF" w:rsidR="00E01595" w:rsidRPr="0083700B" w:rsidRDefault="00E01595" w:rsidP="00E01595">
      <w:pPr>
        <w:pStyle w:val="NoSpacing"/>
        <w:numPr>
          <w:ilvl w:val="0"/>
          <w:numId w:val="2"/>
        </w:numPr>
      </w:pPr>
      <w:r>
        <w:t>CDC is developing “beyond use date” (BUD) tracker labels to help providers track expiration dates at the point of vaccine administration. The label templates will be available on the CDC website.</w:t>
      </w:r>
    </w:p>
    <w:p w14:paraId="7BB6F85C" w14:textId="77777777" w:rsidR="00151C7F" w:rsidRDefault="00151C7F" w:rsidP="004C302D">
      <w:pPr>
        <w:pStyle w:val="NoSpacing"/>
      </w:pPr>
    </w:p>
    <w:p w14:paraId="3562EED0" w14:textId="277A158D" w:rsidR="0083700B" w:rsidRDefault="009B0862" w:rsidP="004C302D">
      <w:pPr>
        <w:pStyle w:val="NoSpacing"/>
        <w:rPr>
          <w:rFonts w:eastAsia="Times New Roman"/>
          <w:b/>
          <w:bCs/>
          <w:color w:val="B08B07" w:themeColor="accent5" w:themeShade="BF"/>
          <w:sz w:val="24"/>
          <w:szCs w:val="24"/>
        </w:rPr>
      </w:pPr>
      <w:r>
        <w:rPr>
          <w:rFonts w:eastAsia="Times New Roman"/>
          <w:b/>
          <w:bCs/>
          <w:color w:val="B08B07" w:themeColor="accent5" w:themeShade="BF"/>
          <w:sz w:val="24"/>
          <w:szCs w:val="24"/>
        </w:rPr>
        <w:t>The</w:t>
      </w:r>
      <w:r w:rsidR="0083700B" w:rsidRPr="0083700B">
        <w:rPr>
          <w:rFonts w:eastAsia="Times New Roman"/>
          <w:b/>
          <w:bCs/>
          <w:color w:val="B08B07" w:themeColor="accent5" w:themeShade="BF"/>
          <w:sz w:val="24"/>
          <w:szCs w:val="24"/>
        </w:rPr>
        <w:t xml:space="preserve"> date on the </w:t>
      </w:r>
      <w:r w:rsidR="00E02B5B">
        <w:rPr>
          <w:rFonts w:eastAsia="Times New Roman"/>
          <w:b/>
          <w:bCs/>
          <w:color w:val="B08B07" w:themeColor="accent5" w:themeShade="BF"/>
          <w:sz w:val="24"/>
          <w:szCs w:val="24"/>
        </w:rPr>
        <w:t xml:space="preserve">COVID-19 </w:t>
      </w:r>
      <w:r w:rsidR="0083700B" w:rsidRPr="0083700B">
        <w:rPr>
          <w:rFonts w:eastAsia="Times New Roman"/>
          <w:b/>
          <w:bCs/>
          <w:color w:val="B08B07" w:themeColor="accent5" w:themeShade="BF"/>
          <w:sz w:val="24"/>
          <w:szCs w:val="24"/>
        </w:rPr>
        <w:t xml:space="preserve">vials </w:t>
      </w:r>
      <w:r w:rsidR="00C10AF7">
        <w:rPr>
          <w:rFonts w:eastAsia="Times New Roman"/>
          <w:b/>
          <w:bCs/>
          <w:color w:val="B08B07" w:themeColor="accent5" w:themeShade="BF"/>
          <w:sz w:val="24"/>
          <w:szCs w:val="24"/>
        </w:rPr>
        <w:t>may be</w:t>
      </w:r>
      <w:r w:rsidR="00C10AF7" w:rsidRPr="0083700B">
        <w:rPr>
          <w:rFonts w:eastAsia="Times New Roman"/>
          <w:b/>
          <w:bCs/>
          <w:color w:val="B08B07" w:themeColor="accent5" w:themeShade="BF"/>
          <w:sz w:val="24"/>
          <w:szCs w:val="24"/>
        </w:rPr>
        <w:t xml:space="preserve"> </w:t>
      </w:r>
      <w:r w:rsidR="0083700B" w:rsidRPr="0083700B">
        <w:rPr>
          <w:rFonts w:eastAsia="Times New Roman"/>
          <w:b/>
          <w:bCs/>
          <w:color w:val="B08B07" w:themeColor="accent5" w:themeShade="BF"/>
          <w:sz w:val="24"/>
          <w:szCs w:val="24"/>
        </w:rPr>
        <w:t>the manufactur</w:t>
      </w:r>
      <w:r w:rsidR="00E02B5B">
        <w:rPr>
          <w:rFonts w:eastAsia="Times New Roman"/>
          <w:b/>
          <w:bCs/>
          <w:color w:val="B08B07" w:themeColor="accent5" w:themeShade="BF"/>
          <w:sz w:val="24"/>
          <w:szCs w:val="24"/>
        </w:rPr>
        <w:t>er</w:t>
      </w:r>
      <w:r w:rsidR="0083700B" w:rsidRPr="0083700B">
        <w:rPr>
          <w:rFonts w:eastAsia="Times New Roman"/>
          <w:b/>
          <w:bCs/>
          <w:color w:val="B08B07" w:themeColor="accent5" w:themeShade="BF"/>
          <w:sz w:val="24"/>
          <w:szCs w:val="24"/>
        </w:rPr>
        <w:t xml:space="preserve"> date</w:t>
      </w:r>
      <w:r w:rsidR="00957017">
        <w:rPr>
          <w:rFonts w:eastAsia="Times New Roman"/>
          <w:b/>
          <w:bCs/>
          <w:color w:val="B08B07" w:themeColor="accent5" w:themeShade="BF"/>
          <w:sz w:val="24"/>
          <w:szCs w:val="24"/>
        </w:rPr>
        <w:t xml:space="preserve"> – </w:t>
      </w:r>
      <w:r w:rsidR="0083700B" w:rsidRPr="0083700B">
        <w:rPr>
          <w:rFonts w:eastAsia="Times New Roman"/>
          <w:b/>
          <w:bCs/>
          <w:color w:val="B08B07" w:themeColor="accent5" w:themeShade="BF"/>
          <w:sz w:val="24"/>
          <w:szCs w:val="24"/>
        </w:rPr>
        <w:t xml:space="preserve">NOT the </w:t>
      </w:r>
      <w:r w:rsidR="00D1027B">
        <w:rPr>
          <w:rFonts w:eastAsia="Times New Roman"/>
          <w:b/>
          <w:bCs/>
          <w:color w:val="B08B07" w:themeColor="accent5" w:themeShade="BF"/>
          <w:sz w:val="24"/>
          <w:szCs w:val="24"/>
        </w:rPr>
        <w:t xml:space="preserve">usual </w:t>
      </w:r>
      <w:r w:rsidR="0083700B" w:rsidRPr="0083700B">
        <w:rPr>
          <w:rFonts w:eastAsia="Times New Roman"/>
          <w:b/>
          <w:bCs/>
          <w:color w:val="B08B07" w:themeColor="accent5" w:themeShade="BF"/>
          <w:sz w:val="24"/>
          <w:szCs w:val="24"/>
        </w:rPr>
        <w:t>expiration date.</w:t>
      </w:r>
      <w:r w:rsidR="00957017">
        <w:rPr>
          <w:rFonts w:eastAsia="Times New Roman"/>
          <w:b/>
          <w:bCs/>
          <w:color w:val="B08B07" w:themeColor="accent5" w:themeShade="BF"/>
          <w:sz w:val="24"/>
          <w:szCs w:val="24"/>
        </w:rPr>
        <w:t xml:space="preserve"> </w:t>
      </w:r>
    </w:p>
    <w:p w14:paraId="2F70721D" w14:textId="77777777" w:rsidR="00A86965" w:rsidRDefault="00304767" w:rsidP="00957017">
      <w:pPr>
        <w:pStyle w:val="NoSpacing"/>
        <w:numPr>
          <w:ilvl w:val="0"/>
          <w:numId w:val="3"/>
        </w:numPr>
        <w:rPr>
          <w:color w:val="000000"/>
        </w:rPr>
      </w:pPr>
      <w:r>
        <w:rPr>
          <w:color w:val="000000"/>
        </w:rPr>
        <w:t>Ensure</w:t>
      </w:r>
      <w:r w:rsidR="00A86965">
        <w:rPr>
          <w:color w:val="000000"/>
        </w:rPr>
        <w:t xml:space="preserve"> that manufactur</w:t>
      </w:r>
      <w:r w:rsidR="00E02B5B">
        <w:rPr>
          <w:color w:val="000000"/>
        </w:rPr>
        <w:t>er</w:t>
      </w:r>
      <w:r w:rsidR="00A86965">
        <w:rPr>
          <w:color w:val="000000"/>
        </w:rPr>
        <w:t xml:space="preserve"> dates are not unintentionally submitted in place of expiration dates. </w:t>
      </w:r>
      <w:r w:rsidR="00957017">
        <w:rPr>
          <w:color w:val="000000"/>
        </w:rPr>
        <w:t xml:space="preserve"> </w:t>
      </w:r>
    </w:p>
    <w:p w14:paraId="07D68021" w14:textId="40DA6719" w:rsidR="00A86965" w:rsidRPr="00B67611" w:rsidRDefault="00AE0A81" w:rsidP="00142CAA">
      <w:pPr>
        <w:pStyle w:val="NoSpacing"/>
        <w:numPr>
          <w:ilvl w:val="0"/>
          <w:numId w:val="3"/>
        </w:numPr>
        <w:rPr>
          <w:color w:val="000000"/>
        </w:rPr>
      </w:pPr>
      <w:r w:rsidRPr="00B67611">
        <w:rPr>
          <w:color w:val="000000"/>
        </w:rPr>
        <w:t xml:space="preserve">Manufacturer dates are </w:t>
      </w:r>
      <w:r>
        <w:t>provided to help with managing stock rotations</w:t>
      </w:r>
      <w:r w:rsidR="00B67611">
        <w:t xml:space="preserve">, while expiration dates are </w:t>
      </w:r>
      <w:r w:rsidR="004D5427">
        <w:t xml:space="preserve">what should be </w:t>
      </w:r>
      <w:r w:rsidR="00B67611">
        <w:t>reported</w:t>
      </w:r>
      <w:r w:rsidR="004D5427">
        <w:t xml:space="preserve"> with administered vaccine</w:t>
      </w:r>
      <w:r w:rsidR="00B67611">
        <w:t>.</w:t>
      </w:r>
      <w:r w:rsidR="002F7D66">
        <w:t xml:space="preserve"> </w:t>
      </w:r>
    </w:p>
    <w:p w14:paraId="4AFE314D" w14:textId="77777777" w:rsidR="00E02B5B" w:rsidRPr="00E02B5B" w:rsidRDefault="00E02B5B" w:rsidP="00E02B5B">
      <w:pPr>
        <w:pStyle w:val="NoSpacing"/>
        <w:ind w:left="720"/>
        <w:rPr>
          <w:color w:val="000000"/>
        </w:rPr>
      </w:pPr>
    </w:p>
    <w:p w14:paraId="18A9B9C7" w14:textId="77777777" w:rsidR="00B24572" w:rsidRDefault="00B24572" w:rsidP="00E02B5B">
      <w:pPr>
        <w:pStyle w:val="NoSpacing"/>
        <w:rPr>
          <w:rFonts w:eastAsia="Times New Roman"/>
          <w:b/>
          <w:bCs/>
          <w:color w:val="B08B07" w:themeColor="accent5" w:themeShade="BF"/>
          <w:sz w:val="24"/>
          <w:szCs w:val="24"/>
        </w:rPr>
      </w:pPr>
    </w:p>
    <w:p w14:paraId="4B275364" w14:textId="6089C80D" w:rsidR="00D1027B" w:rsidRDefault="002F7D66" w:rsidP="00E02B5B">
      <w:pPr>
        <w:pStyle w:val="NoSpacing"/>
        <w:rPr>
          <w:rFonts w:eastAsia="Times New Roman"/>
          <w:color w:val="000000"/>
        </w:rPr>
      </w:pPr>
      <w:r>
        <w:rPr>
          <w:rFonts w:eastAsia="Times New Roman"/>
          <w:b/>
          <w:bCs/>
          <w:color w:val="B08B07" w:themeColor="accent5" w:themeShade="BF"/>
          <w:sz w:val="24"/>
          <w:szCs w:val="24"/>
        </w:rPr>
        <w:t xml:space="preserve">The </w:t>
      </w:r>
      <w:r w:rsidR="00473316">
        <w:rPr>
          <w:rFonts w:eastAsia="Times New Roman"/>
          <w:b/>
          <w:bCs/>
          <w:color w:val="B08B07" w:themeColor="accent5" w:themeShade="BF"/>
          <w:sz w:val="24"/>
          <w:szCs w:val="24"/>
        </w:rPr>
        <w:t>COVID</w:t>
      </w:r>
      <w:r w:rsidR="00364127">
        <w:rPr>
          <w:rFonts w:eastAsia="Times New Roman"/>
          <w:b/>
          <w:bCs/>
          <w:color w:val="B08B07" w:themeColor="accent5" w:themeShade="BF"/>
          <w:sz w:val="24"/>
          <w:szCs w:val="24"/>
        </w:rPr>
        <w:t>-19</w:t>
      </w:r>
      <w:r w:rsidR="00473316">
        <w:rPr>
          <w:rFonts w:eastAsia="Times New Roman"/>
          <w:b/>
          <w:bCs/>
          <w:color w:val="B08B07" w:themeColor="accent5" w:themeShade="BF"/>
          <w:sz w:val="24"/>
          <w:szCs w:val="24"/>
        </w:rPr>
        <w:t xml:space="preserve"> </w:t>
      </w:r>
      <w:r w:rsidR="00E02B5B" w:rsidRPr="00E02B5B">
        <w:rPr>
          <w:rFonts w:eastAsia="Times New Roman"/>
          <w:b/>
          <w:bCs/>
          <w:color w:val="B08B07" w:themeColor="accent5" w:themeShade="BF"/>
          <w:sz w:val="24"/>
          <w:szCs w:val="24"/>
        </w:rPr>
        <w:t>Unspecified Vaccine CVX Code</w:t>
      </w:r>
      <w:r w:rsidR="00E02B5B">
        <w:rPr>
          <w:rFonts w:eastAsia="Times New Roman"/>
          <w:b/>
          <w:bCs/>
          <w:color w:val="B08B07" w:themeColor="accent5" w:themeShade="BF"/>
          <w:sz w:val="24"/>
          <w:szCs w:val="24"/>
        </w:rPr>
        <w:t xml:space="preserve"> </w:t>
      </w:r>
      <w:r>
        <w:rPr>
          <w:rFonts w:eastAsia="Times New Roman"/>
          <w:b/>
          <w:bCs/>
          <w:color w:val="B08B07" w:themeColor="accent5" w:themeShade="BF"/>
          <w:sz w:val="24"/>
          <w:szCs w:val="24"/>
        </w:rPr>
        <w:t xml:space="preserve">should only be used </w:t>
      </w:r>
      <w:r w:rsidR="00E02B5B">
        <w:rPr>
          <w:rFonts w:eastAsia="Times New Roman"/>
          <w:b/>
          <w:bCs/>
          <w:color w:val="B08B07" w:themeColor="accent5" w:themeShade="BF"/>
          <w:sz w:val="24"/>
          <w:szCs w:val="24"/>
        </w:rPr>
        <w:t xml:space="preserve">when </w:t>
      </w:r>
      <w:proofErr w:type="gramStart"/>
      <w:r w:rsidR="00E02B5B">
        <w:rPr>
          <w:rFonts w:eastAsia="Times New Roman"/>
          <w:b/>
          <w:bCs/>
          <w:color w:val="B08B07" w:themeColor="accent5" w:themeShade="BF"/>
          <w:sz w:val="24"/>
          <w:szCs w:val="24"/>
        </w:rPr>
        <w:t>absolutely necessary</w:t>
      </w:r>
      <w:proofErr w:type="gramEnd"/>
      <w:r w:rsidR="00D1027B">
        <w:rPr>
          <w:rFonts w:eastAsia="Times New Roman"/>
          <w:b/>
          <w:bCs/>
          <w:color w:val="B08B07" w:themeColor="accent5" w:themeShade="BF"/>
          <w:sz w:val="24"/>
          <w:szCs w:val="24"/>
        </w:rPr>
        <w:t>.</w:t>
      </w:r>
      <w:r w:rsidR="00D1027B">
        <w:rPr>
          <w:rFonts w:eastAsia="Times New Roman"/>
          <w:color w:val="000000"/>
        </w:rPr>
        <w:t xml:space="preserve"> </w:t>
      </w:r>
    </w:p>
    <w:p w14:paraId="3EB6F945" w14:textId="77777777" w:rsidR="00D1027B" w:rsidRPr="00D1027B" w:rsidRDefault="00E02B5B" w:rsidP="00D1027B">
      <w:pPr>
        <w:pStyle w:val="NoSpacing"/>
        <w:numPr>
          <w:ilvl w:val="0"/>
          <w:numId w:val="5"/>
        </w:numPr>
        <w:rPr>
          <w:color w:val="000000"/>
        </w:rPr>
      </w:pPr>
      <w:r>
        <w:rPr>
          <w:rFonts w:eastAsia="Times New Roman"/>
          <w:color w:val="000000"/>
        </w:rPr>
        <w:t xml:space="preserve">The </w:t>
      </w:r>
      <w:r w:rsidRPr="00E02B5B">
        <w:rPr>
          <w:rFonts w:eastAsia="Times New Roman"/>
          <w:color w:val="000000"/>
        </w:rPr>
        <w:t xml:space="preserve">Unspecified Vaccine CVX Code </w:t>
      </w:r>
      <w:r>
        <w:rPr>
          <w:rFonts w:eastAsia="Times New Roman"/>
          <w:color w:val="000000"/>
        </w:rPr>
        <w:t xml:space="preserve">was created for instances when </w:t>
      </w:r>
      <w:proofErr w:type="gramStart"/>
      <w:r>
        <w:rPr>
          <w:rFonts w:eastAsia="Times New Roman"/>
          <w:color w:val="000000"/>
        </w:rPr>
        <w:t>there’s</w:t>
      </w:r>
      <w:proofErr w:type="gramEnd"/>
      <w:r>
        <w:rPr>
          <w:rFonts w:eastAsia="Times New Roman"/>
          <w:color w:val="000000"/>
        </w:rPr>
        <w:t xml:space="preserve"> no way to determine the specific vaccine</w:t>
      </w:r>
      <w:r w:rsidR="00304767">
        <w:rPr>
          <w:rFonts w:eastAsia="Times New Roman"/>
          <w:color w:val="000000"/>
        </w:rPr>
        <w:t xml:space="preserve"> administered</w:t>
      </w:r>
      <w:r>
        <w:rPr>
          <w:rFonts w:eastAsia="Times New Roman"/>
          <w:color w:val="000000"/>
        </w:rPr>
        <w:t xml:space="preserve">. </w:t>
      </w:r>
    </w:p>
    <w:p w14:paraId="0C85B305" w14:textId="64D146CF" w:rsidR="00133FD8" w:rsidRPr="00D03D7C" w:rsidRDefault="00A21F1A" w:rsidP="00276BBC">
      <w:pPr>
        <w:pStyle w:val="NoSpacing"/>
        <w:numPr>
          <w:ilvl w:val="0"/>
          <w:numId w:val="5"/>
        </w:numPr>
        <w:rPr>
          <w:color w:val="000000"/>
        </w:rPr>
      </w:pPr>
      <w:r>
        <w:rPr>
          <w:rFonts w:eastAsia="Times New Roman"/>
          <w:color w:val="000000"/>
        </w:rPr>
        <w:t>Coding vaccination events as unspecified formulation limits</w:t>
      </w:r>
      <w:r w:rsidR="000729A4">
        <w:rPr>
          <w:rFonts w:eastAsia="Times New Roman"/>
          <w:color w:val="000000"/>
        </w:rPr>
        <w:t xml:space="preserve"> important activities such as vaccine forecasting, inventory management, </w:t>
      </w:r>
      <w:r w:rsidR="00D94D4E">
        <w:rPr>
          <w:rFonts w:eastAsia="Times New Roman"/>
          <w:color w:val="000000"/>
        </w:rPr>
        <w:t xml:space="preserve">vaccine </w:t>
      </w:r>
      <w:r w:rsidR="000729A4">
        <w:rPr>
          <w:rFonts w:eastAsia="Times New Roman"/>
          <w:color w:val="000000"/>
        </w:rPr>
        <w:t>allocation,</w:t>
      </w:r>
      <w:r w:rsidR="00D94D4E">
        <w:rPr>
          <w:rFonts w:eastAsia="Times New Roman"/>
          <w:color w:val="000000"/>
        </w:rPr>
        <w:t xml:space="preserve"> </w:t>
      </w:r>
      <w:r w:rsidR="000729A4">
        <w:rPr>
          <w:rFonts w:eastAsia="Times New Roman"/>
          <w:color w:val="000000"/>
        </w:rPr>
        <w:t xml:space="preserve">distribution, safety monitoring, etc. </w:t>
      </w:r>
    </w:p>
    <w:p w14:paraId="4B9671C1" w14:textId="6596CAEF" w:rsidR="00D03D7C" w:rsidRDefault="00D03D7C" w:rsidP="00D03D7C">
      <w:pPr>
        <w:pStyle w:val="NoSpacing"/>
        <w:rPr>
          <w:rFonts w:eastAsia="Times New Roman"/>
          <w:color w:val="000000"/>
        </w:rPr>
      </w:pPr>
    </w:p>
    <w:p w14:paraId="012837A7" w14:textId="34FDCCF8" w:rsidR="000E1CBE" w:rsidRPr="008011B9" w:rsidRDefault="000E1CBE" w:rsidP="000E1CBE">
      <w:pPr>
        <w:pStyle w:val="NoSpacing"/>
        <w:rPr>
          <w:b/>
          <w:bCs/>
          <w:color w:val="B08B07" w:themeColor="accent5" w:themeShade="BF"/>
          <w:sz w:val="24"/>
          <w:szCs w:val="24"/>
        </w:rPr>
      </w:pPr>
      <w:r w:rsidRPr="008011B9">
        <w:rPr>
          <w:b/>
          <w:bCs/>
          <w:color w:val="B08B07" w:themeColor="accent5" w:themeShade="BF"/>
          <w:sz w:val="24"/>
          <w:szCs w:val="24"/>
        </w:rPr>
        <w:t>Extra doses per vial of Pfizer-</w:t>
      </w:r>
      <w:proofErr w:type="spellStart"/>
      <w:r w:rsidRPr="008011B9">
        <w:rPr>
          <w:b/>
          <w:bCs/>
          <w:color w:val="B08B07" w:themeColor="accent5" w:themeShade="BF"/>
          <w:sz w:val="24"/>
          <w:szCs w:val="24"/>
        </w:rPr>
        <w:t>BioNTech</w:t>
      </w:r>
      <w:proofErr w:type="spellEnd"/>
      <w:r w:rsidRPr="008011B9">
        <w:rPr>
          <w:b/>
          <w:bCs/>
          <w:color w:val="B08B07" w:themeColor="accent5" w:themeShade="BF"/>
          <w:sz w:val="24"/>
          <w:szCs w:val="24"/>
        </w:rPr>
        <w:t xml:space="preserve"> COVID-19</w:t>
      </w:r>
      <w:r w:rsidR="00364127">
        <w:rPr>
          <w:b/>
          <w:bCs/>
          <w:color w:val="B08B07" w:themeColor="accent5" w:themeShade="BF"/>
          <w:sz w:val="24"/>
          <w:szCs w:val="24"/>
        </w:rPr>
        <w:t xml:space="preserve"> vaccine</w:t>
      </w:r>
      <w:r w:rsidRPr="008011B9">
        <w:rPr>
          <w:b/>
          <w:bCs/>
          <w:color w:val="B08B07" w:themeColor="accent5" w:themeShade="BF"/>
          <w:sz w:val="24"/>
          <w:szCs w:val="24"/>
        </w:rPr>
        <w:t xml:space="preserve"> (i.e., 6 or 7 doses in a vial rather than 5) should be administered to patients. </w:t>
      </w:r>
    </w:p>
    <w:p w14:paraId="7EEBB703" w14:textId="6E4C6379" w:rsidR="000E1CBE" w:rsidRDefault="000E1CBE" w:rsidP="000E1CBE">
      <w:pPr>
        <w:pStyle w:val="NoSpacing"/>
        <w:numPr>
          <w:ilvl w:val="0"/>
          <w:numId w:val="6"/>
        </w:numPr>
      </w:pPr>
      <w:r>
        <w:t>Per the</w:t>
      </w:r>
      <w:r w:rsidR="00364127">
        <w:t xml:space="preserve"> </w:t>
      </w:r>
      <w:hyperlink r:id="rId8" w:history="1">
        <w:r w:rsidR="00364127" w:rsidRPr="00364127">
          <w:rPr>
            <w:rStyle w:val="Hyperlink"/>
          </w:rPr>
          <w:t>Food and Drug Administration</w:t>
        </w:r>
        <w:r w:rsidRPr="00364127">
          <w:rPr>
            <w:rStyle w:val="Hyperlink"/>
          </w:rPr>
          <w:t xml:space="preserve"> </w:t>
        </w:r>
        <w:r w:rsidR="00364127" w:rsidRPr="00364127">
          <w:rPr>
            <w:rStyle w:val="Hyperlink"/>
          </w:rPr>
          <w:t>(</w:t>
        </w:r>
        <w:r w:rsidRPr="00364127">
          <w:rPr>
            <w:rStyle w:val="Hyperlink"/>
          </w:rPr>
          <w:t>FDA</w:t>
        </w:r>
        <w:r w:rsidR="00364127" w:rsidRPr="00364127">
          <w:rPr>
            <w:rStyle w:val="Hyperlink"/>
          </w:rPr>
          <w:t>)</w:t>
        </w:r>
      </w:hyperlink>
      <w:r>
        <w:t>, “</w:t>
      </w:r>
      <w:r w:rsidRPr="00A412B7">
        <w:t>At this time, given the public health emergency, FDA is advising that it is acceptable to use every full dose obtainable (the sixth, or possibly even a seventh) from each vial, pending resolution of the issue. However, since the vials are preservative free, it is critical to note that any further remaining product that does not constitute a full dose should not be pooled from multiple vials to create one.</w:t>
      </w:r>
      <w:r>
        <w:t>”</w:t>
      </w:r>
    </w:p>
    <w:p w14:paraId="33D8FAE2" w14:textId="76E89C12" w:rsidR="000E1CBE" w:rsidRDefault="000E1CBE" w:rsidP="000E1CBE">
      <w:pPr>
        <w:pStyle w:val="NoSpacing"/>
        <w:numPr>
          <w:ilvl w:val="0"/>
          <w:numId w:val="6"/>
        </w:numPr>
      </w:pPr>
      <w:r>
        <w:t>The concept of “bonus doses” is addressed in</w:t>
      </w:r>
      <w:r w:rsidR="00763F45">
        <w:t xml:space="preserve"> the</w:t>
      </w:r>
      <w:r>
        <w:t xml:space="preserve"> </w:t>
      </w:r>
      <w:hyperlink r:id="rId9" w:history="1">
        <w:r w:rsidR="00364127" w:rsidRPr="00763F45">
          <w:rPr>
            <w:rStyle w:val="Hyperlink"/>
          </w:rPr>
          <w:t>Modeling of Immunization Registry Operations Workgroup (MIROW) Immunization Information System (IIS) Inventory Management Operations</w:t>
        </w:r>
      </w:hyperlink>
      <w:r w:rsidR="00763F45">
        <w:t xml:space="preserve"> guide</w:t>
      </w:r>
      <w:r>
        <w:t>. A bonus dose is defined as an additional dose of vaccine discovered after the expected number of doses have been drawn from a vial. Bonus doses that are administered should be reported to the IIS.</w:t>
      </w:r>
    </w:p>
    <w:p w14:paraId="64F41A26" w14:textId="39B88BA3" w:rsidR="00D03D7C" w:rsidRPr="00364127" w:rsidRDefault="000E1CBE" w:rsidP="001E3308">
      <w:pPr>
        <w:pStyle w:val="NoSpacing"/>
        <w:numPr>
          <w:ilvl w:val="0"/>
          <w:numId w:val="6"/>
        </w:numPr>
        <w:rPr>
          <w:color w:val="000000"/>
        </w:rPr>
      </w:pPr>
      <w:r>
        <w:t>The MIROW guide recommends that i</w:t>
      </w:r>
      <w:r w:rsidRPr="00A412B7">
        <w:t>nventory should be reconciled to account for bonus doses.</w:t>
      </w:r>
      <w:r>
        <w:t xml:space="preserve"> </w:t>
      </w:r>
      <w:r w:rsidR="00BF1AA7">
        <w:t xml:space="preserve">If you have questions or need assistance, contact </w:t>
      </w:r>
      <w:proofErr w:type="spellStart"/>
      <w:r w:rsidR="00BF1AA7" w:rsidRPr="00BF1AA7">
        <w:t>VTrckS</w:t>
      </w:r>
      <w:proofErr w:type="spellEnd"/>
      <w:r w:rsidR="00BF1AA7" w:rsidRPr="00BF1AA7">
        <w:t xml:space="preserve"> </w:t>
      </w:r>
      <w:proofErr w:type="spellStart"/>
      <w:r w:rsidR="00BF1AA7" w:rsidRPr="00BF1AA7">
        <w:t>ExIS</w:t>
      </w:r>
      <w:proofErr w:type="spellEnd"/>
      <w:r w:rsidR="00BF1AA7" w:rsidRPr="00BF1AA7">
        <w:t xml:space="preserve"> Support: </w:t>
      </w:r>
      <w:hyperlink r:id="rId10" w:history="1">
        <w:r w:rsidR="00763F45" w:rsidRPr="000C1788">
          <w:rPr>
            <w:rStyle w:val="Hyperlink"/>
          </w:rPr>
          <w:t>VTrckSExIS@cdc.gov</w:t>
        </w:r>
      </w:hyperlink>
      <w:r w:rsidR="00BF1AA7">
        <w:t xml:space="preserve">. </w:t>
      </w:r>
    </w:p>
    <w:p w14:paraId="37B2B398" w14:textId="77777777" w:rsidR="00B86E8B" w:rsidRPr="00D0750F" w:rsidRDefault="00B86E8B" w:rsidP="00364127">
      <w:pPr>
        <w:pStyle w:val="NoSpacing"/>
        <w:ind w:left="720"/>
        <w:rPr>
          <w:color w:val="000000"/>
        </w:rPr>
      </w:pPr>
    </w:p>
    <w:p w14:paraId="1C8E0964" w14:textId="4248BFDD" w:rsidR="000E1CBE" w:rsidRPr="008011B9" w:rsidRDefault="000E1CBE" w:rsidP="000E1CBE">
      <w:pPr>
        <w:pStyle w:val="NoSpacing"/>
        <w:rPr>
          <w:b/>
          <w:bCs/>
          <w:color w:val="B08B07" w:themeColor="accent5" w:themeShade="BF"/>
          <w:sz w:val="24"/>
          <w:szCs w:val="24"/>
        </w:rPr>
      </w:pPr>
      <w:r w:rsidRPr="008011B9">
        <w:rPr>
          <w:b/>
          <w:bCs/>
          <w:color w:val="B08B07" w:themeColor="accent5" w:themeShade="BF"/>
          <w:sz w:val="24"/>
          <w:szCs w:val="24"/>
        </w:rPr>
        <w:t>Contacts for Technical Assistance</w:t>
      </w:r>
    </w:p>
    <w:p w14:paraId="100B04D8" w14:textId="285BBB4C" w:rsidR="000E1CBE" w:rsidRPr="008011B9" w:rsidRDefault="000E1CBE" w:rsidP="000E1CBE">
      <w:pPr>
        <w:shd w:val="clear" w:color="auto" w:fill="FFFFFF"/>
        <w:spacing w:after="0"/>
        <w:rPr>
          <w:rFonts w:cstheme="minorHAnsi"/>
          <w:color w:val="201F1E"/>
        </w:rPr>
      </w:pPr>
      <w:r w:rsidRPr="008011B9">
        <w:rPr>
          <w:rFonts w:cstheme="minorHAnsi"/>
          <w:color w:val="201F1E"/>
        </w:rPr>
        <w:t xml:space="preserve">Please see below for </w:t>
      </w:r>
      <w:r w:rsidR="00700A1A">
        <w:rPr>
          <w:rFonts w:cstheme="minorHAnsi"/>
          <w:color w:val="201F1E"/>
        </w:rPr>
        <w:t>CDC’s</w:t>
      </w:r>
      <w:r w:rsidRPr="008011B9">
        <w:rPr>
          <w:rFonts w:cstheme="minorHAnsi"/>
          <w:color w:val="201F1E"/>
        </w:rPr>
        <w:t xml:space="preserve"> list of support contacts for systems being used for the COVID-19 vaccine response. In addition, CDC has a centralized call center available for awardees and system users</w:t>
      </w:r>
      <w:r w:rsidR="00763F45">
        <w:rPr>
          <w:rFonts w:cstheme="minorHAnsi"/>
          <w:color w:val="201F1E"/>
        </w:rPr>
        <w:t>.</w:t>
      </w:r>
      <w:r w:rsidRPr="008011B9">
        <w:rPr>
          <w:rFonts w:cstheme="minorHAnsi"/>
          <w:color w:val="201F1E"/>
        </w:rPr>
        <w:t xml:space="preserve"> </w:t>
      </w:r>
      <w:r w:rsidR="00763F45">
        <w:rPr>
          <w:rFonts w:cstheme="minorHAnsi"/>
          <w:color w:val="201F1E"/>
        </w:rPr>
        <w:t>T</w:t>
      </w:r>
      <w:r w:rsidRPr="008011B9">
        <w:rPr>
          <w:rFonts w:cstheme="minorHAnsi"/>
          <w:color w:val="201F1E"/>
        </w:rPr>
        <w:t>he caller’s question will be answered or triaged as appropriate to meet the caller’s needs. Phone numbers are listed below the specific contacts.</w:t>
      </w:r>
    </w:p>
    <w:p w14:paraId="11C58FD7" w14:textId="77777777" w:rsidR="000E1CBE" w:rsidRPr="008011B9" w:rsidRDefault="000E1CBE" w:rsidP="000E1CBE">
      <w:pPr>
        <w:shd w:val="clear" w:color="auto" w:fill="FFFFFF"/>
        <w:spacing w:after="0"/>
        <w:rPr>
          <w:rFonts w:cstheme="minorHAnsi"/>
          <w:color w:val="201F1E"/>
        </w:rPr>
      </w:pPr>
      <w:r w:rsidRPr="008011B9">
        <w:rPr>
          <w:rFonts w:cstheme="minorHAnsi"/>
          <w:color w:val="201F1E"/>
        </w:rPr>
        <w:t> </w:t>
      </w:r>
    </w:p>
    <w:tbl>
      <w:tblPr>
        <w:tblStyle w:val="AIRA2"/>
        <w:tblW w:w="9435" w:type="dxa"/>
        <w:tblLook w:val="04A0" w:firstRow="1" w:lastRow="0" w:firstColumn="1" w:lastColumn="0" w:noHBand="0" w:noVBand="1"/>
      </w:tblPr>
      <w:tblGrid>
        <w:gridCol w:w="3765"/>
        <w:gridCol w:w="5670"/>
      </w:tblGrid>
      <w:tr w:rsidR="000E1CBE" w:rsidRPr="00B24572" w14:paraId="717D4417" w14:textId="77777777" w:rsidTr="00B24572">
        <w:trPr>
          <w:cnfStyle w:val="100000000000" w:firstRow="1" w:lastRow="0" w:firstColumn="0" w:lastColumn="0" w:oddVBand="0" w:evenVBand="0" w:oddHBand="0" w:evenHBand="0" w:firstRowFirstColumn="0" w:firstRowLastColumn="0" w:lastRowFirstColumn="0" w:lastRowLastColumn="0"/>
          <w:trHeight w:val="336"/>
        </w:trPr>
        <w:tc>
          <w:tcPr>
            <w:tcW w:w="3765" w:type="dxa"/>
            <w:hideMark/>
          </w:tcPr>
          <w:p w14:paraId="632BD583" w14:textId="77777777" w:rsidR="000E1CBE" w:rsidRPr="00B24572" w:rsidRDefault="000E1CBE" w:rsidP="00086BB8">
            <w:pPr>
              <w:spacing w:line="231" w:lineRule="atLeast"/>
              <w:rPr>
                <w:rFonts w:cstheme="minorHAnsi"/>
                <w:color w:val="201F1E"/>
              </w:rPr>
            </w:pPr>
            <w:r w:rsidRPr="00B24572">
              <w:rPr>
                <w:rFonts w:cstheme="minorHAnsi"/>
                <w:color w:val="FFFFFF"/>
              </w:rPr>
              <w:t>I need help with…</w:t>
            </w:r>
          </w:p>
        </w:tc>
        <w:tc>
          <w:tcPr>
            <w:tcW w:w="5670" w:type="dxa"/>
            <w:hideMark/>
          </w:tcPr>
          <w:p w14:paraId="23AAFB74" w14:textId="77777777" w:rsidR="000E1CBE" w:rsidRPr="00B24572" w:rsidRDefault="000E1CBE" w:rsidP="00086BB8">
            <w:pPr>
              <w:spacing w:line="231" w:lineRule="atLeast"/>
              <w:rPr>
                <w:rFonts w:cstheme="minorHAnsi"/>
                <w:color w:val="201F1E"/>
              </w:rPr>
            </w:pPr>
            <w:r w:rsidRPr="00B24572">
              <w:rPr>
                <w:rFonts w:cstheme="minorHAnsi"/>
                <w:color w:val="FFFFFF"/>
              </w:rPr>
              <w:t>Contact…</w:t>
            </w:r>
          </w:p>
        </w:tc>
      </w:tr>
      <w:tr w:rsidR="000E1CBE" w:rsidRPr="00B24572" w14:paraId="4A61B136" w14:textId="77777777" w:rsidTr="00B24572">
        <w:trPr>
          <w:cnfStyle w:val="000000100000" w:firstRow="0" w:lastRow="0" w:firstColumn="0" w:lastColumn="0" w:oddVBand="0" w:evenVBand="0" w:oddHBand="1" w:evenHBand="0" w:firstRowFirstColumn="0" w:firstRowLastColumn="0" w:lastRowFirstColumn="0" w:lastRowLastColumn="0"/>
          <w:trHeight w:val="426"/>
        </w:trPr>
        <w:tc>
          <w:tcPr>
            <w:tcW w:w="3765" w:type="dxa"/>
            <w:vAlign w:val="center"/>
            <w:hideMark/>
          </w:tcPr>
          <w:p w14:paraId="6DAA13F9" w14:textId="77777777" w:rsidR="000E1CBE" w:rsidRPr="00B24572" w:rsidRDefault="000E1CBE" w:rsidP="000E1CBE">
            <w:pPr>
              <w:spacing w:line="231" w:lineRule="atLeast"/>
              <w:rPr>
                <w:rFonts w:cstheme="minorHAnsi"/>
                <w:color w:val="201F1E"/>
              </w:rPr>
            </w:pPr>
            <w:r w:rsidRPr="00B24572">
              <w:rPr>
                <w:rFonts w:cstheme="minorHAnsi"/>
                <w:color w:val="000000"/>
              </w:rPr>
              <w:t>General Inquiries</w:t>
            </w:r>
          </w:p>
        </w:tc>
        <w:tc>
          <w:tcPr>
            <w:tcW w:w="5670" w:type="dxa"/>
            <w:vAlign w:val="center"/>
            <w:hideMark/>
          </w:tcPr>
          <w:p w14:paraId="30CD2DC5" w14:textId="77777777" w:rsidR="000E1CBE" w:rsidRPr="00B24572" w:rsidRDefault="000E1CBE" w:rsidP="000E1CBE">
            <w:pPr>
              <w:spacing w:line="231" w:lineRule="atLeast"/>
              <w:rPr>
                <w:rFonts w:cstheme="minorHAnsi"/>
                <w:color w:val="201F1E"/>
              </w:rPr>
            </w:pPr>
            <w:r w:rsidRPr="00B24572">
              <w:rPr>
                <w:rFonts w:cstheme="minorHAnsi"/>
                <w:color w:val="000000"/>
              </w:rPr>
              <w:t>IIS Support: </w:t>
            </w:r>
            <w:hyperlink r:id="rId11" w:tgtFrame="_blank" w:history="1">
              <w:r w:rsidRPr="00B24572">
                <w:rPr>
                  <w:rStyle w:val="Hyperlink"/>
                  <w:rFonts w:cstheme="minorHAnsi"/>
                </w:rPr>
                <w:t>IISInfo@cdc.gov</w:t>
              </w:r>
            </w:hyperlink>
          </w:p>
        </w:tc>
      </w:tr>
      <w:tr w:rsidR="000E1CBE" w:rsidRPr="00B24572" w14:paraId="4341022A" w14:textId="77777777" w:rsidTr="00B24572">
        <w:trPr>
          <w:cnfStyle w:val="000000010000" w:firstRow="0" w:lastRow="0" w:firstColumn="0" w:lastColumn="0" w:oddVBand="0" w:evenVBand="0" w:oddHBand="0" w:evenHBand="1" w:firstRowFirstColumn="0" w:firstRowLastColumn="0" w:lastRowFirstColumn="0" w:lastRowLastColumn="0"/>
          <w:trHeight w:val="495"/>
        </w:trPr>
        <w:tc>
          <w:tcPr>
            <w:tcW w:w="3765" w:type="dxa"/>
            <w:vAlign w:val="center"/>
            <w:hideMark/>
          </w:tcPr>
          <w:p w14:paraId="20D84BDF" w14:textId="77777777" w:rsidR="000E1CBE" w:rsidRPr="00B24572" w:rsidRDefault="000E1CBE" w:rsidP="000E1CBE">
            <w:pPr>
              <w:spacing w:line="231" w:lineRule="atLeast"/>
              <w:rPr>
                <w:rFonts w:cstheme="minorHAnsi"/>
                <w:color w:val="201F1E"/>
              </w:rPr>
            </w:pPr>
            <w:r w:rsidRPr="00B24572">
              <w:rPr>
                <w:rFonts w:cstheme="minorHAnsi"/>
                <w:color w:val="201F1E"/>
              </w:rPr>
              <w:t>Provider Enrollment Data</w:t>
            </w:r>
          </w:p>
        </w:tc>
        <w:tc>
          <w:tcPr>
            <w:tcW w:w="5670" w:type="dxa"/>
            <w:vAlign w:val="center"/>
            <w:hideMark/>
          </w:tcPr>
          <w:p w14:paraId="24E36907" w14:textId="77777777" w:rsidR="000E1CBE" w:rsidRPr="00B24572" w:rsidRDefault="000E1CBE" w:rsidP="000E1CBE">
            <w:pPr>
              <w:spacing w:line="231" w:lineRule="atLeast"/>
              <w:rPr>
                <w:rFonts w:cstheme="minorHAnsi"/>
                <w:color w:val="201F1E"/>
              </w:rPr>
            </w:pPr>
            <w:r w:rsidRPr="00B24572">
              <w:rPr>
                <w:rFonts w:cstheme="minorHAnsi"/>
                <w:color w:val="201F1E"/>
              </w:rPr>
              <w:t>IZ Data Lake Support:  </w:t>
            </w:r>
            <w:hyperlink r:id="rId12" w:tgtFrame="_blank" w:history="1">
              <w:r w:rsidRPr="00B24572">
                <w:rPr>
                  <w:rStyle w:val="Hyperlink"/>
                  <w:rFonts w:cstheme="minorHAnsi"/>
                </w:rPr>
                <w:t>IZDLhelpdesk@cdc.gov</w:t>
              </w:r>
            </w:hyperlink>
          </w:p>
        </w:tc>
      </w:tr>
      <w:tr w:rsidR="000E1CBE" w:rsidRPr="00B24572" w14:paraId="51FB8D52" w14:textId="77777777" w:rsidTr="00B24572">
        <w:trPr>
          <w:cnfStyle w:val="000000100000" w:firstRow="0" w:lastRow="0" w:firstColumn="0" w:lastColumn="0" w:oddVBand="0" w:evenVBand="0" w:oddHBand="1" w:evenHBand="0" w:firstRowFirstColumn="0" w:firstRowLastColumn="0" w:lastRowFirstColumn="0" w:lastRowLastColumn="0"/>
          <w:trHeight w:val="744"/>
        </w:trPr>
        <w:tc>
          <w:tcPr>
            <w:tcW w:w="3765" w:type="dxa"/>
            <w:vAlign w:val="center"/>
            <w:hideMark/>
          </w:tcPr>
          <w:p w14:paraId="2FFCF02F" w14:textId="77777777" w:rsidR="000E1CBE" w:rsidRPr="00B24572" w:rsidRDefault="000E1CBE" w:rsidP="000E1CBE">
            <w:pPr>
              <w:spacing w:line="231" w:lineRule="atLeast"/>
              <w:rPr>
                <w:rFonts w:cstheme="minorHAnsi"/>
                <w:color w:val="201F1E"/>
              </w:rPr>
            </w:pPr>
            <w:proofErr w:type="spellStart"/>
            <w:r w:rsidRPr="00B24572">
              <w:rPr>
                <w:rFonts w:cstheme="minorHAnsi"/>
                <w:color w:val="000000"/>
              </w:rPr>
              <w:t>VTrckS</w:t>
            </w:r>
            <w:proofErr w:type="spellEnd"/>
            <w:r w:rsidRPr="00B24572">
              <w:rPr>
                <w:rFonts w:cstheme="minorHAnsi"/>
                <w:color w:val="000000"/>
              </w:rPr>
              <w:t> </w:t>
            </w:r>
            <w:r w:rsidRPr="00B24572">
              <w:rPr>
                <w:rFonts w:cstheme="minorHAnsi"/>
                <w:color w:val="201F1E"/>
              </w:rPr>
              <w:t>Ordering</w:t>
            </w:r>
            <w:r w:rsidRPr="00B24572">
              <w:rPr>
                <w:rFonts w:cstheme="minorHAnsi"/>
                <w:color w:val="000000"/>
              </w:rPr>
              <w:t>, Provider Master Data, Returns &amp; Wastage Extracts</w:t>
            </w:r>
          </w:p>
        </w:tc>
        <w:tc>
          <w:tcPr>
            <w:tcW w:w="5670" w:type="dxa"/>
            <w:vAlign w:val="center"/>
            <w:hideMark/>
          </w:tcPr>
          <w:p w14:paraId="1596F645" w14:textId="77777777" w:rsidR="000E1CBE" w:rsidRPr="00B24572" w:rsidRDefault="000E1CBE" w:rsidP="000E1CBE">
            <w:pPr>
              <w:spacing w:line="231" w:lineRule="atLeast"/>
              <w:rPr>
                <w:rFonts w:cstheme="minorHAnsi"/>
                <w:color w:val="201F1E"/>
              </w:rPr>
            </w:pPr>
            <w:proofErr w:type="spellStart"/>
            <w:r w:rsidRPr="00B24572">
              <w:rPr>
                <w:rFonts w:cstheme="minorHAnsi"/>
                <w:color w:val="000000"/>
              </w:rPr>
              <w:t>VTrckS</w:t>
            </w:r>
            <w:proofErr w:type="spellEnd"/>
            <w:r w:rsidRPr="00B24572">
              <w:rPr>
                <w:rFonts w:cstheme="minorHAnsi"/>
                <w:color w:val="000000"/>
              </w:rPr>
              <w:t xml:space="preserve"> </w:t>
            </w:r>
            <w:proofErr w:type="spellStart"/>
            <w:r w:rsidRPr="00B24572">
              <w:rPr>
                <w:rFonts w:cstheme="minorHAnsi"/>
                <w:color w:val="000000"/>
              </w:rPr>
              <w:t>ExIS</w:t>
            </w:r>
            <w:proofErr w:type="spellEnd"/>
            <w:r w:rsidRPr="00B24572">
              <w:rPr>
                <w:rFonts w:cstheme="minorHAnsi"/>
                <w:color w:val="000000"/>
              </w:rPr>
              <w:t xml:space="preserve"> Support: </w:t>
            </w:r>
            <w:hyperlink r:id="rId13" w:tgtFrame="_blank" w:history="1">
              <w:r w:rsidRPr="00B24572">
                <w:rPr>
                  <w:rStyle w:val="Hyperlink"/>
                  <w:rFonts w:cstheme="minorHAnsi"/>
                </w:rPr>
                <w:t>VTrckSExIS@cdc.gov</w:t>
              </w:r>
            </w:hyperlink>
          </w:p>
          <w:p w14:paraId="5B727B93" w14:textId="77777777" w:rsidR="000E1CBE" w:rsidRPr="00B24572" w:rsidRDefault="000E1CBE" w:rsidP="000E1CBE">
            <w:pPr>
              <w:spacing w:line="231" w:lineRule="atLeast"/>
              <w:rPr>
                <w:rFonts w:cstheme="minorHAnsi"/>
                <w:color w:val="201F1E"/>
              </w:rPr>
            </w:pPr>
            <w:proofErr w:type="spellStart"/>
            <w:r w:rsidRPr="00B24572">
              <w:rPr>
                <w:rFonts w:cstheme="minorHAnsi"/>
                <w:color w:val="000000"/>
              </w:rPr>
              <w:t>VPoP</w:t>
            </w:r>
            <w:proofErr w:type="spellEnd"/>
            <w:r w:rsidRPr="00B24572">
              <w:rPr>
                <w:rFonts w:cstheme="minorHAnsi"/>
                <w:color w:val="000000"/>
              </w:rPr>
              <w:t xml:space="preserve"> (Federal Partners): </w:t>
            </w:r>
            <w:hyperlink r:id="rId14" w:tgtFrame="_blank" w:history="1">
              <w:r w:rsidRPr="00B24572">
                <w:rPr>
                  <w:rStyle w:val="Hyperlink"/>
                  <w:rFonts w:cstheme="minorHAnsi"/>
                </w:rPr>
                <w:t>VTrckSExIS@cdc.gov</w:t>
              </w:r>
            </w:hyperlink>
          </w:p>
        </w:tc>
      </w:tr>
      <w:tr w:rsidR="000E1CBE" w:rsidRPr="00B24572" w14:paraId="434144E7" w14:textId="77777777" w:rsidTr="00B24572">
        <w:trPr>
          <w:cnfStyle w:val="000000010000" w:firstRow="0" w:lastRow="0" w:firstColumn="0" w:lastColumn="0" w:oddVBand="0" w:evenVBand="0" w:oddHBand="0" w:evenHBand="1" w:firstRowFirstColumn="0" w:firstRowLastColumn="0" w:lastRowFirstColumn="0" w:lastRowLastColumn="0"/>
          <w:trHeight w:val="690"/>
        </w:trPr>
        <w:tc>
          <w:tcPr>
            <w:tcW w:w="3765" w:type="dxa"/>
            <w:vAlign w:val="center"/>
            <w:hideMark/>
          </w:tcPr>
          <w:p w14:paraId="3A69513D" w14:textId="77777777" w:rsidR="000E1CBE" w:rsidRPr="00B24572" w:rsidRDefault="000E1CBE" w:rsidP="000E1CBE">
            <w:pPr>
              <w:spacing w:line="231" w:lineRule="atLeast"/>
              <w:rPr>
                <w:rFonts w:cstheme="minorHAnsi"/>
                <w:color w:val="201F1E"/>
              </w:rPr>
            </w:pPr>
            <w:proofErr w:type="spellStart"/>
            <w:r w:rsidRPr="00B24572">
              <w:rPr>
                <w:rFonts w:cstheme="minorHAnsi"/>
                <w:color w:val="201F1E"/>
              </w:rPr>
              <w:t>VTrckS</w:t>
            </w:r>
            <w:proofErr w:type="spellEnd"/>
            <w:r w:rsidRPr="00B24572">
              <w:rPr>
                <w:rFonts w:cstheme="minorHAnsi"/>
                <w:color w:val="201F1E"/>
              </w:rPr>
              <w:t xml:space="preserve"> Allocations, Tracking and Shipment</w:t>
            </w:r>
          </w:p>
        </w:tc>
        <w:tc>
          <w:tcPr>
            <w:tcW w:w="5670" w:type="dxa"/>
            <w:vAlign w:val="center"/>
            <w:hideMark/>
          </w:tcPr>
          <w:p w14:paraId="755E71D1" w14:textId="77777777" w:rsidR="000E1CBE" w:rsidRPr="00B24572" w:rsidRDefault="000E1CBE" w:rsidP="000E1CBE">
            <w:pPr>
              <w:spacing w:line="231" w:lineRule="atLeast"/>
              <w:rPr>
                <w:rFonts w:cstheme="minorHAnsi"/>
                <w:color w:val="201F1E"/>
              </w:rPr>
            </w:pPr>
            <w:r w:rsidRPr="00B24572">
              <w:rPr>
                <w:rFonts w:cstheme="minorHAnsi"/>
                <w:color w:val="201F1E"/>
              </w:rPr>
              <w:t>Vaccine Order Management Contact Center: </w:t>
            </w:r>
            <w:hyperlink r:id="rId15" w:tgtFrame="_blank" w:history="1">
              <w:r w:rsidRPr="00B24572">
                <w:rPr>
                  <w:rStyle w:val="Hyperlink"/>
                  <w:rFonts w:cstheme="minorHAnsi"/>
                </w:rPr>
                <w:t>Vaccineordermgmt@cdc.gov</w:t>
              </w:r>
            </w:hyperlink>
          </w:p>
        </w:tc>
      </w:tr>
      <w:tr w:rsidR="000E1CBE" w:rsidRPr="00B24572" w14:paraId="55FF1CB1" w14:textId="77777777" w:rsidTr="00B24572">
        <w:trPr>
          <w:cnfStyle w:val="000000100000" w:firstRow="0" w:lastRow="0" w:firstColumn="0" w:lastColumn="0" w:oddVBand="0" w:evenVBand="0" w:oddHBand="1" w:evenHBand="0" w:firstRowFirstColumn="0" w:firstRowLastColumn="0" w:lastRowFirstColumn="0" w:lastRowLastColumn="0"/>
          <w:trHeight w:val="495"/>
        </w:trPr>
        <w:tc>
          <w:tcPr>
            <w:tcW w:w="3765" w:type="dxa"/>
            <w:vAlign w:val="center"/>
            <w:hideMark/>
          </w:tcPr>
          <w:p w14:paraId="39FD3400" w14:textId="77777777" w:rsidR="000E1CBE" w:rsidRPr="00B24572" w:rsidRDefault="000E1CBE" w:rsidP="000E1CBE">
            <w:pPr>
              <w:spacing w:line="231" w:lineRule="atLeast"/>
              <w:rPr>
                <w:rFonts w:cstheme="minorHAnsi"/>
                <w:color w:val="201F1E"/>
              </w:rPr>
            </w:pPr>
            <w:r w:rsidRPr="00B24572">
              <w:rPr>
                <w:rFonts w:cstheme="minorHAnsi"/>
                <w:color w:val="201F1E"/>
              </w:rPr>
              <w:lastRenderedPageBreak/>
              <w:t>Inventory Data</w:t>
            </w:r>
          </w:p>
        </w:tc>
        <w:tc>
          <w:tcPr>
            <w:tcW w:w="5670" w:type="dxa"/>
            <w:vAlign w:val="center"/>
            <w:hideMark/>
          </w:tcPr>
          <w:p w14:paraId="41C0B4EC" w14:textId="77777777" w:rsidR="000E1CBE" w:rsidRPr="00B24572" w:rsidRDefault="000E1CBE" w:rsidP="000E1CBE">
            <w:pPr>
              <w:spacing w:line="231" w:lineRule="atLeast"/>
              <w:rPr>
                <w:rFonts w:cstheme="minorHAnsi"/>
                <w:color w:val="201F1E"/>
              </w:rPr>
            </w:pPr>
            <w:proofErr w:type="spellStart"/>
            <w:r w:rsidRPr="00B24572">
              <w:rPr>
                <w:rFonts w:cstheme="minorHAnsi"/>
                <w:color w:val="000000"/>
              </w:rPr>
              <w:t>VaccineFinder</w:t>
            </w:r>
            <w:proofErr w:type="spellEnd"/>
            <w:r w:rsidRPr="00B24572">
              <w:rPr>
                <w:rFonts w:cstheme="minorHAnsi"/>
                <w:color w:val="000000"/>
              </w:rPr>
              <w:t>: </w:t>
            </w:r>
            <w:hyperlink r:id="rId16" w:tgtFrame="_blank" w:history="1">
              <w:r w:rsidRPr="00B24572">
                <w:rPr>
                  <w:rStyle w:val="Hyperlink"/>
                  <w:rFonts w:cstheme="minorHAnsi"/>
                </w:rPr>
                <w:t>Eocevent522@cdc.gov</w:t>
              </w:r>
            </w:hyperlink>
          </w:p>
          <w:p w14:paraId="18E9A22B" w14:textId="77777777" w:rsidR="000E1CBE" w:rsidRPr="00B24572" w:rsidRDefault="000E1CBE" w:rsidP="000E1CBE">
            <w:pPr>
              <w:spacing w:line="231" w:lineRule="atLeast"/>
              <w:rPr>
                <w:rFonts w:cstheme="minorHAnsi"/>
                <w:b/>
                <w:bCs/>
                <w:color w:val="201F1E"/>
              </w:rPr>
            </w:pPr>
            <w:r w:rsidRPr="00B24572">
              <w:rPr>
                <w:rFonts w:cstheme="minorHAnsi"/>
                <w:b/>
                <w:bCs/>
                <w:color w:val="201F1E"/>
              </w:rPr>
              <w:t>**NEW ADDRESS**</w:t>
            </w:r>
          </w:p>
        </w:tc>
      </w:tr>
      <w:tr w:rsidR="000E1CBE" w:rsidRPr="00700A1A" w14:paraId="3FCE7F2E" w14:textId="77777777" w:rsidTr="00B24572">
        <w:trPr>
          <w:cnfStyle w:val="000000010000" w:firstRow="0" w:lastRow="0" w:firstColumn="0" w:lastColumn="0" w:oddVBand="0" w:evenVBand="0" w:oddHBand="0" w:evenHBand="1" w:firstRowFirstColumn="0" w:firstRowLastColumn="0" w:lastRowFirstColumn="0" w:lastRowLastColumn="0"/>
          <w:trHeight w:val="349"/>
        </w:trPr>
        <w:tc>
          <w:tcPr>
            <w:tcW w:w="3765" w:type="dxa"/>
            <w:vMerge w:val="restart"/>
            <w:vAlign w:val="center"/>
            <w:hideMark/>
          </w:tcPr>
          <w:p w14:paraId="36FCA0AC" w14:textId="77777777" w:rsidR="000E1CBE" w:rsidRPr="00B24572" w:rsidRDefault="000E1CBE" w:rsidP="000E1CBE">
            <w:pPr>
              <w:spacing w:line="231" w:lineRule="atLeast"/>
              <w:rPr>
                <w:rFonts w:cstheme="minorHAnsi"/>
                <w:color w:val="201F1E"/>
              </w:rPr>
            </w:pPr>
            <w:r w:rsidRPr="00B24572">
              <w:rPr>
                <w:rFonts w:cstheme="minorHAnsi"/>
                <w:color w:val="201F1E"/>
              </w:rPr>
              <w:t>Reporting Administration Data via CVRS Data Extract</w:t>
            </w:r>
          </w:p>
        </w:tc>
        <w:tc>
          <w:tcPr>
            <w:tcW w:w="5670" w:type="dxa"/>
            <w:vAlign w:val="center"/>
            <w:hideMark/>
          </w:tcPr>
          <w:p w14:paraId="14ACAF51" w14:textId="77777777" w:rsidR="000E1CBE" w:rsidRPr="00B24572" w:rsidRDefault="000E1CBE" w:rsidP="000E1CBE">
            <w:pPr>
              <w:spacing w:line="231" w:lineRule="atLeast"/>
              <w:rPr>
                <w:rFonts w:cstheme="minorHAnsi"/>
                <w:color w:val="201F1E"/>
                <w:lang w:val="fr-FR"/>
              </w:rPr>
            </w:pPr>
            <w:r w:rsidRPr="00B24572">
              <w:rPr>
                <w:rFonts w:cstheme="minorHAnsi"/>
                <w:color w:val="201F1E"/>
                <w:lang w:val="fr-FR"/>
              </w:rPr>
              <w:t xml:space="preserve">CVRS </w:t>
            </w:r>
            <w:proofErr w:type="gramStart"/>
            <w:r w:rsidRPr="00B24572">
              <w:rPr>
                <w:rFonts w:cstheme="minorHAnsi"/>
                <w:color w:val="201F1E"/>
                <w:lang w:val="fr-FR"/>
              </w:rPr>
              <w:t>Support:</w:t>
            </w:r>
            <w:proofErr w:type="gramEnd"/>
            <w:r w:rsidRPr="00B24572">
              <w:rPr>
                <w:rFonts w:cstheme="minorHAnsi"/>
                <w:color w:val="201F1E"/>
                <w:lang w:val="fr-FR"/>
              </w:rPr>
              <w:t> </w:t>
            </w:r>
            <w:hyperlink r:id="rId17" w:tgtFrame="_blank" w:history="1">
              <w:r w:rsidRPr="00B24572">
                <w:rPr>
                  <w:rStyle w:val="Hyperlink"/>
                  <w:rFonts w:cstheme="minorHAnsi"/>
                  <w:lang w:val="fr-FR"/>
                </w:rPr>
                <w:t>IZGateway@hhs.gov</w:t>
              </w:r>
            </w:hyperlink>
          </w:p>
        </w:tc>
      </w:tr>
      <w:tr w:rsidR="000E1CBE" w:rsidRPr="00B24572" w14:paraId="1DFFBEC6" w14:textId="77777777" w:rsidTr="00B24572">
        <w:trPr>
          <w:cnfStyle w:val="000000100000" w:firstRow="0" w:lastRow="0" w:firstColumn="0" w:lastColumn="0" w:oddVBand="0" w:evenVBand="0" w:oddHBand="1" w:evenHBand="0" w:firstRowFirstColumn="0" w:firstRowLastColumn="0" w:lastRowFirstColumn="0" w:lastRowLastColumn="0"/>
          <w:trHeight w:val="314"/>
        </w:trPr>
        <w:tc>
          <w:tcPr>
            <w:tcW w:w="3765" w:type="dxa"/>
            <w:vMerge/>
            <w:vAlign w:val="center"/>
            <w:hideMark/>
          </w:tcPr>
          <w:p w14:paraId="6FF1EFDC" w14:textId="77777777" w:rsidR="000E1CBE" w:rsidRPr="00364127" w:rsidRDefault="000E1CBE" w:rsidP="000E1CBE">
            <w:pPr>
              <w:rPr>
                <w:rFonts w:cstheme="minorHAnsi"/>
                <w:color w:val="201F1E"/>
                <w:lang w:val="fr-FR"/>
              </w:rPr>
            </w:pPr>
          </w:p>
        </w:tc>
        <w:tc>
          <w:tcPr>
            <w:tcW w:w="5670" w:type="dxa"/>
            <w:vAlign w:val="center"/>
            <w:hideMark/>
          </w:tcPr>
          <w:p w14:paraId="2F8BB732" w14:textId="77777777" w:rsidR="000E1CBE" w:rsidRPr="00B24572" w:rsidRDefault="000E1CBE" w:rsidP="000E1CBE">
            <w:pPr>
              <w:spacing w:line="231" w:lineRule="atLeast"/>
              <w:rPr>
                <w:rFonts w:cstheme="minorHAnsi"/>
                <w:color w:val="201F1E"/>
              </w:rPr>
            </w:pPr>
            <w:r w:rsidRPr="00B24572">
              <w:rPr>
                <w:rFonts w:cstheme="minorHAnsi"/>
                <w:color w:val="201F1E"/>
              </w:rPr>
              <w:t>Data Clearinghouse: </w:t>
            </w:r>
            <w:hyperlink r:id="rId18" w:tgtFrame="_blank" w:history="1">
              <w:r w:rsidRPr="00B24572">
                <w:rPr>
                  <w:rStyle w:val="Hyperlink"/>
                  <w:rFonts w:cstheme="minorHAnsi"/>
                </w:rPr>
                <w:t>DCHInfo@cdc.gov</w:t>
              </w:r>
            </w:hyperlink>
          </w:p>
        </w:tc>
      </w:tr>
      <w:tr w:rsidR="000E1CBE" w:rsidRPr="00B24572" w14:paraId="445B8BF3" w14:textId="77777777" w:rsidTr="00B24572">
        <w:trPr>
          <w:cnfStyle w:val="000000010000" w:firstRow="0" w:lastRow="0" w:firstColumn="0" w:lastColumn="0" w:oddVBand="0" w:evenVBand="0" w:oddHBand="0" w:evenHBand="1" w:firstRowFirstColumn="0" w:firstRowLastColumn="0" w:lastRowFirstColumn="0" w:lastRowLastColumn="0"/>
          <w:trHeight w:val="315"/>
        </w:trPr>
        <w:tc>
          <w:tcPr>
            <w:tcW w:w="3765" w:type="dxa"/>
            <w:vMerge/>
            <w:vAlign w:val="center"/>
            <w:hideMark/>
          </w:tcPr>
          <w:p w14:paraId="774681F3" w14:textId="77777777" w:rsidR="000E1CBE" w:rsidRPr="00B24572" w:rsidRDefault="000E1CBE" w:rsidP="000E1CBE">
            <w:pPr>
              <w:rPr>
                <w:rFonts w:cstheme="minorHAnsi"/>
                <w:color w:val="201F1E"/>
              </w:rPr>
            </w:pPr>
          </w:p>
        </w:tc>
        <w:tc>
          <w:tcPr>
            <w:tcW w:w="5670" w:type="dxa"/>
            <w:vAlign w:val="center"/>
            <w:hideMark/>
          </w:tcPr>
          <w:p w14:paraId="66F4472E" w14:textId="77777777" w:rsidR="000E1CBE" w:rsidRPr="00B24572" w:rsidRDefault="000E1CBE" w:rsidP="000E1CBE">
            <w:pPr>
              <w:spacing w:line="231" w:lineRule="atLeast"/>
              <w:rPr>
                <w:rFonts w:cstheme="minorHAnsi"/>
                <w:color w:val="201F1E"/>
              </w:rPr>
            </w:pPr>
            <w:r w:rsidRPr="00B24572">
              <w:rPr>
                <w:rFonts w:cstheme="minorHAnsi"/>
                <w:color w:val="201F1E"/>
              </w:rPr>
              <w:t>Pharmacy Liaison: </w:t>
            </w:r>
            <w:hyperlink r:id="rId19" w:tgtFrame="_blank" w:history="1">
              <w:r w:rsidRPr="00B24572">
                <w:rPr>
                  <w:rStyle w:val="Hyperlink"/>
                  <w:rFonts w:cstheme="minorHAnsi"/>
                </w:rPr>
                <w:t>eocevent481@cdc.gov</w:t>
              </w:r>
            </w:hyperlink>
          </w:p>
        </w:tc>
      </w:tr>
      <w:tr w:rsidR="000E1CBE" w:rsidRPr="00B24572" w14:paraId="36BC358C" w14:textId="77777777" w:rsidTr="00B24572">
        <w:trPr>
          <w:cnfStyle w:val="000000100000" w:firstRow="0" w:lastRow="0" w:firstColumn="0" w:lastColumn="0" w:oddVBand="0" w:evenVBand="0" w:oddHBand="1" w:evenHBand="0" w:firstRowFirstColumn="0" w:firstRowLastColumn="0" w:lastRowFirstColumn="0" w:lastRowLastColumn="0"/>
          <w:trHeight w:val="495"/>
        </w:trPr>
        <w:tc>
          <w:tcPr>
            <w:tcW w:w="3765" w:type="dxa"/>
            <w:vAlign w:val="center"/>
            <w:hideMark/>
          </w:tcPr>
          <w:p w14:paraId="0714B3C3" w14:textId="77777777" w:rsidR="000E1CBE" w:rsidRPr="00B24572" w:rsidRDefault="000E1CBE" w:rsidP="000E1CBE">
            <w:pPr>
              <w:spacing w:line="231" w:lineRule="atLeast"/>
              <w:rPr>
                <w:rFonts w:cstheme="minorHAnsi"/>
                <w:color w:val="201F1E"/>
              </w:rPr>
            </w:pPr>
            <w:r w:rsidRPr="00B24572">
              <w:rPr>
                <w:rFonts w:cstheme="minorHAnsi"/>
                <w:color w:val="201F1E"/>
              </w:rPr>
              <w:t>VAMS</w:t>
            </w:r>
          </w:p>
        </w:tc>
        <w:tc>
          <w:tcPr>
            <w:tcW w:w="5670" w:type="dxa"/>
            <w:vAlign w:val="center"/>
            <w:hideMark/>
          </w:tcPr>
          <w:p w14:paraId="4040E215" w14:textId="77777777" w:rsidR="000E1CBE" w:rsidRPr="00B24572" w:rsidRDefault="000E1CBE" w:rsidP="000E1CBE">
            <w:pPr>
              <w:spacing w:line="231" w:lineRule="atLeast"/>
              <w:rPr>
                <w:rFonts w:cstheme="minorHAnsi"/>
                <w:color w:val="201F1E"/>
              </w:rPr>
            </w:pPr>
            <w:r w:rsidRPr="00B24572">
              <w:rPr>
                <w:rFonts w:cstheme="minorHAnsi"/>
                <w:color w:val="000000"/>
              </w:rPr>
              <w:t>VAMS Help Desk: 1-833-957-1100 **preferred contact method**</w:t>
            </w:r>
          </w:p>
          <w:p w14:paraId="142E19D8" w14:textId="77777777" w:rsidR="000E1CBE" w:rsidRPr="00B24572" w:rsidRDefault="000E1CBE" w:rsidP="000E1CBE">
            <w:pPr>
              <w:spacing w:line="231" w:lineRule="atLeast"/>
              <w:rPr>
                <w:rFonts w:cstheme="minorHAnsi"/>
                <w:color w:val="201F1E"/>
              </w:rPr>
            </w:pPr>
            <w:r w:rsidRPr="00B24572">
              <w:rPr>
                <w:rFonts w:cstheme="minorHAnsi"/>
                <w:color w:val="000000"/>
              </w:rPr>
              <w:t>VAMS Help: </w:t>
            </w:r>
            <w:hyperlink r:id="rId20" w:tgtFrame="_blank" w:history="1">
              <w:r w:rsidRPr="00B24572">
                <w:rPr>
                  <w:rStyle w:val="Hyperlink"/>
                  <w:rFonts w:cstheme="minorHAnsi"/>
                </w:rPr>
                <w:t>VAMSHelp@cdc.gov</w:t>
              </w:r>
            </w:hyperlink>
          </w:p>
          <w:p w14:paraId="47A2419E" w14:textId="77777777" w:rsidR="000E1CBE" w:rsidRPr="00B24572" w:rsidRDefault="000E1CBE" w:rsidP="000E1CBE">
            <w:pPr>
              <w:spacing w:line="231" w:lineRule="atLeast"/>
              <w:rPr>
                <w:rFonts w:cstheme="minorHAnsi"/>
                <w:color w:val="201F1E"/>
              </w:rPr>
            </w:pPr>
            <w:r w:rsidRPr="00B24572">
              <w:rPr>
                <w:rFonts w:cstheme="minorHAnsi"/>
                <w:color w:val="000000"/>
              </w:rPr>
              <w:t>These help options are </w:t>
            </w:r>
            <w:r w:rsidRPr="00B24572">
              <w:rPr>
                <w:rFonts w:cstheme="minorHAnsi"/>
                <w:b/>
                <w:bCs/>
                <w:color w:val="000000"/>
              </w:rPr>
              <w:t>only</w:t>
            </w:r>
            <w:r w:rsidRPr="00B24572">
              <w:rPr>
                <w:rFonts w:cstheme="minorHAnsi"/>
                <w:color w:val="000000"/>
              </w:rPr>
              <w:t> for jurisdictions and providers using VAMs.</w:t>
            </w:r>
          </w:p>
        </w:tc>
      </w:tr>
      <w:tr w:rsidR="000E1CBE" w:rsidRPr="00B24572" w14:paraId="184CF7A2" w14:textId="77777777" w:rsidTr="00B24572">
        <w:trPr>
          <w:cnfStyle w:val="000000010000" w:firstRow="0" w:lastRow="0" w:firstColumn="0" w:lastColumn="0" w:oddVBand="0" w:evenVBand="0" w:oddHBand="0" w:evenHBand="1" w:firstRowFirstColumn="0" w:firstRowLastColumn="0" w:lastRowFirstColumn="0" w:lastRowLastColumn="0"/>
          <w:trHeight w:val="511"/>
        </w:trPr>
        <w:tc>
          <w:tcPr>
            <w:tcW w:w="3765" w:type="dxa"/>
            <w:vAlign w:val="center"/>
            <w:hideMark/>
          </w:tcPr>
          <w:p w14:paraId="6D5F0BF5" w14:textId="77777777" w:rsidR="000E1CBE" w:rsidRPr="00B24572" w:rsidRDefault="000E1CBE" w:rsidP="000E1CBE">
            <w:pPr>
              <w:spacing w:line="231" w:lineRule="atLeast"/>
              <w:rPr>
                <w:rFonts w:cstheme="minorHAnsi"/>
                <w:color w:val="201F1E"/>
              </w:rPr>
            </w:pPr>
            <w:r w:rsidRPr="00B24572">
              <w:rPr>
                <w:rFonts w:cstheme="minorHAnsi"/>
                <w:color w:val="000000"/>
                <w:lang w:val="en-AU"/>
              </w:rPr>
              <w:t>v-safe</w:t>
            </w:r>
            <w:r w:rsidRPr="00B24572">
              <w:rPr>
                <w:rFonts w:cstheme="minorHAnsi"/>
                <w:color w:val="000000"/>
              </w:rPr>
              <w:t> </w:t>
            </w:r>
          </w:p>
        </w:tc>
        <w:tc>
          <w:tcPr>
            <w:tcW w:w="5670" w:type="dxa"/>
            <w:vAlign w:val="center"/>
            <w:hideMark/>
          </w:tcPr>
          <w:p w14:paraId="725A9682" w14:textId="77777777" w:rsidR="000E1CBE" w:rsidRPr="00B24572" w:rsidRDefault="000E1CBE" w:rsidP="000E1CBE">
            <w:pPr>
              <w:spacing w:line="231" w:lineRule="atLeast"/>
              <w:rPr>
                <w:rFonts w:cstheme="minorHAnsi"/>
                <w:color w:val="201F1E"/>
              </w:rPr>
            </w:pPr>
            <w:hyperlink r:id="rId21" w:tgtFrame="_blank" w:history="1">
              <w:r w:rsidRPr="00B24572">
                <w:rPr>
                  <w:rStyle w:val="Hyperlink"/>
                  <w:rFonts w:cstheme="minorHAnsi"/>
                </w:rPr>
                <w:t>eocevent416@cdc.gov</w:t>
              </w:r>
            </w:hyperlink>
            <w:r w:rsidRPr="00B24572">
              <w:rPr>
                <w:rFonts w:cstheme="minorHAnsi"/>
                <w:color w:val="000000"/>
              </w:rPr>
              <w:t> </w:t>
            </w:r>
          </w:p>
        </w:tc>
      </w:tr>
      <w:tr w:rsidR="000E1CBE" w:rsidRPr="00B24572" w14:paraId="179A3975" w14:textId="77777777" w:rsidTr="00B24572">
        <w:trPr>
          <w:cnfStyle w:val="000000100000" w:firstRow="0" w:lastRow="0" w:firstColumn="0" w:lastColumn="0" w:oddVBand="0" w:evenVBand="0" w:oddHBand="1" w:evenHBand="0" w:firstRowFirstColumn="0" w:firstRowLastColumn="0" w:lastRowFirstColumn="0" w:lastRowLastColumn="0"/>
          <w:trHeight w:val="415"/>
        </w:trPr>
        <w:tc>
          <w:tcPr>
            <w:tcW w:w="3765" w:type="dxa"/>
            <w:vAlign w:val="center"/>
            <w:hideMark/>
          </w:tcPr>
          <w:p w14:paraId="5BC4C5CF" w14:textId="77777777" w:rsidR="000E1CBE" w:rsidRPr="00B24572" w:rsidRDefault="000E1CBE" w:rsidP="000E1CBE">
            <w:pPr>
              <w:spacing w:line="231" w:lineRule="atLeast"/>
              <w:rPr>
                <w:rFonts w:cstheme="minorHAnsi"/>
                <w:color w:val="201F1E"/>
              </w:rPr>
            </w:pPr>
            <w:r w:rsidRPr="00B24572">
              <w:rPr>
                <w:rFonts w:cstheme="minorHAnsi"/>
                <w:color w:val="000000"/>
                <w:lang w:val="en-AU"/>
              </w:rPr>
              <w:t>Operation Warp Speed Tiberius</w:t>
            </w:r>
            <w:r w:rsidRPr="00B24572">
              <w:rPr>
                <w:rFonts w:cstheme="minorHAnsi"/>
                <w:color w:val="000000"/>
              </w:rPr>
              <w:t> </w:t>
            </w:r>
          </w:p>
        </w:tc>
        <w:tc>
          <w:tcPr>
            <w:tcW w:w="5670" w:type="dxa"/>
            <w:vAlign w:val="center"/>
            <w:hideMark/>
          </w:tcPr>
          <w:p w14:paraId="26E58CBD" w14:textId="77777777" w:rsidR="000E1CBE" w:rsidRPr="00B24572" w:rsidRDefault="000E1CBE" w:rsidP="000E1CBE">
            <w:pPr>
              <w:spacing w:line="231" w:lineRule="atLeast"/>
              <w:rPr>
                <w:rFonts w:cstheme="minorHAnsi"/>
                <w:color w:val="201F1E"/>
              </w:rPr>
            </w:pPr>
            <w:r w:rsidRPr="00B24572">
              <w:rPr>
                <w:rFonts w:cstheme="minorHAnsi"/>
                <w:color w:val="000000"/>
                <w:lang w:val="en-AU"/>
              </w:rPr>
              <w:t>Log-in: </w:t>
            </w:r>
            <w:hyperlink r:id="rId22" w:tgtFrame="_blank" w:history="1">
              <w:r w:rsidRPr="00B24572">
                <w:rPr>
                  <w:rStyle w:val="Hyperlink"/>
                  <w:rFonts w:cstheme="minorHAnsi"/>
                  <w:lang w:val="en-AU"/>
                </w:rPr>
                <w:t>Protect-ServiceDesk@hhs.gov</w:t>
              </w:r>
            </w:hyperlink>
            <w:r w:rsidRPr="00B24572">
              <w:rPr>
                <w:rFonts w:cstheme="minorHAnsi"/>
                <w:color w:val="000000"/>
                <w:lang w:val="en-AU"/>
              </w:rPr>
              <w:t> </w:t>
            </w:r>
            <w:r w:rsidRPr="00B24572">
              <w:rPr>
                <w:rFonts w:cstheme="minorHAnsi"/>
                <w:color w:val="000000"/>
              </w:rPr>
              <w:t> </w:t>
            </w:r>
          </w:p>
          <w:p w14:paraId="4F54EFC6" w14:textId="77777777" w:rsidR="000E1CBE" w:rsidRPr="00B24572" w:rsidRDefault="000E1CBE" w:rsidP="000E1CBE">
            <w:pPr>
              <w:spacing w:line="231" w:lineRule="atLeast"/>
              <w:rPr>
                <w:rFonts w:cstheme="minorHAnsi"/>
                <w:color w:val="201F1E"/>
              </w:rPr>
            </w:pPr>
            <w:r w:rsidRPr="00B24572">
              <w:rPr>
                <w:rFonts w:cstheme="minorHAnsi"/>
                <w:color w:val="000000"/>
                <w:lang w:val="en-AU"/>
              </w:rPr>
              <w:t>Platform: </w:t>
            </w:r>
            <w:hyperlink r:id="rId23" w:tgtFrame="_blank" w:history="1">
              <w:r w:rsidRPr="00B24572">
                <w:rPr>
                  <w:rStyle w:val="Hyperlink"/>
                  <w:rFonts w:cstheme="minorHAnsi"/>
                  <w:lang w:val="en-AU"/>
                </w:rPr>
                <w:t>ows-support@palantir.com</w:t>
              </w:r>
            </w:hyperlink>
            <w:r w:rsidRPr="00B24572">
              <w:rPr>
                <w:rFonts w:cstheme="minorHAnsi"/>
                <w:color w:val="000000"/>
                <w:lang w:val="en-AU"/>
              </w:rPr>
              <w:t> </w:t>
            </w:r>
            <w:r w:rsidRPr="00B24572">
              <w:rPr>
                <w:rFonts w:cstheme="minorHAnsi"/>
                <w:color w:val="000000"/>
              </w:rPr>
              <w:t> </w:t>
            </w:r>
          </w:p>
          <w:p w14:paraId="087F52DA" w14:textId="77777777" w:rsidR="000E1CBE" w:rsidRPr="00B24572" w:rsidRDefault="000E1CBE" w:rsidP="000E1CBE">
            <w:pPr>
              <w:spacing w:line="231" w:lineRule="atLeast"/>
              <w:rPr>
                <w:rFonts w:cstheme="minorHAnsi"/>
                <w:color w:val="201F1E"/>
              </w:rPr>
            </w:pPr>
            <w:r w:rsidRPr="00B24572">
              <w:rPr>
                <w:rFonts w:cstheme="minorHAnsi"/>
                <w:color w:val="000000"/>
                <w:lang w:val="en-AU"/>
              </w:rPr>
              <w:t>Microplanning: </w:t>
            </w:r>
            <w:hyperlink r:id="rId24" w:tgtFrame="_blank" w:history="1">
              <w:r w:rsidRPr="00B24572">
                <w:rPr>
                  <w:rStyle w:val="Hyperlink"/>
                  <w:rFonts w:cstheme="minorHAnsi"/>
                  <w:lang w:val="en-AU"/>
                </w:rPr>
                <w:t>ows-support-microplanning@palantir.com</w:t>
              </w:r>
            </w:hyperlink>
            <w:r w:rsidRPr="00B24572">
              <w:rPr>
                <w:rFonts w:cstheme="minorHAnsi"/>
                <w:color w:val="000000"/>
                <w:lang w:val="en-AU"/>
              </w:rPr>
              <w:t> </w:t>
            </w:r>
            <w:r w:rsidRPr="00B24572">
              <w:rPr>
                <w:rFonts w:cstheme="minorHAnsi"/>
                <w:color w:val="000000"/>
              </w:rPr>
              <w:t> </w:t>
            </w:r>
          </w:p>
        </w:tc>
      </w:tr>
    </w:tbl>
    <w:p w14:paraId="129B0331" w14:textId="77777777" w:rsidR="000E1CBE" w:rsidRPr="008011B9" w:rsidRDefault="000E1CBE" w:rsidP="000E1CBE">
      <w:pPr>
        <w:shd w:val="clear" w:color="auto" w:fill="FFFFFF"/>
        <w:spacing w:after="0"/>
        <w:rPr>
          <w:rFonts w:cstheme="minorHAnsi"/>
          <w:color w:val="201F1E"/>
        </w:rPr>
      </w:pPr>
      <w:r w:rsidRPr="008011B9">
        <w:rPr>
          <w:rFonts w:cstheme="minorHAnsi"/>
          <w:color w:val="201F1E"/>
        </w:rPr>
        <w:t> </w:t>
      </w:r>
    </w:p>
    <w:p w14:paraId="5FD61F6D" w14:textId="6AB468FB" w:rsidR="000E1CBE" w:rsidRPr="008011B9" w:rsidRDefault="000E1CBE" w:rsidP="000E1CBE">
      <w:pPr>
        <w:shd w:val="clear" w:color="auto" w:fill="FFFFFF"/>
        <w:spacing w:after="0"/>
        <w:rPr>
          <w:rFonts w:cstheme="minorHAnsi"/>
          <w:color w:val="201F1E"/>
        </w:rPr>
      </w:pPr>
      <w:r w:rsidRPr="008011B9">
        <w:rPr>
          <w:rFonts w:cstheme="minorHAnsi"/>
          <w:color w:val="000000"/>
        </w:rPr>
        <w:t xml:space="preserve">The Vaccine Coordination Center at CDC has a Jurisdictional Watch Desk to provide technical assistance related to the COVID-19 vaccine for the 64 funded jurisdictions and 5 federal entities. The help desk will operate 24 hours a day, 7 days a week.  The call center is not intended to disrupt the existing relationship jurisdictions have with their regional support team and other direct technical support they have been receiving. It is anticipated that, especially near-term, many jurisdictions will reach </w:t>
      </w:r>
      <w:r w:rsidR="00763F45">
        <w:rPr>
          <w:rFonts w:cstheme="minorHAnsi"/>
          <w:color w:val="000000"/>
        </w:rPr>
        <w:t xml:space="preserve">out </w:t>
      </w:r>
      <w:r w:rsidRPr="008011B9">
        <w:rPr>
          <w:rFonts w:cstheme="minorHAnsi"/>
          <w:color w:val="000000"/>
        </w:rPr>
        <w:t>directly to their CDC regional teams; however, we encourage use of the call center as much as possible to help CDC provide the best service in the most efficient manner and track questions from awardees</w:t>
      </w:r>
      <w:r w:rsidRPr="008011B9">
        <w:rPr>
          <w:rFonts w:cstheme="minorHAnsi"/>
          <w:color w:val="201F1E"/>
        </w:rPr>
        <w:t>.</w:t>
      </w:r>
    </w:p>
    <w:p w14:paraId="34809461" w14:textId="77777777" w:rsidR="000E1CBE" w:rsidRPr="008011B9" w:rsidRDefault="000E1CBE" w:rsidP="000E1CBE">
      <w:pPr>
        <w:shd w:val="clear" w:color="auto" w:fill="FFFFFF"/>
        <w:spacing w:after="0"/>
        <w:rPr>
          <w:rFonts w:cstheme="minorHAnsi"/>
          <w:color w:val="201F1E"/>
        </w:rPr>
      </w:pPr>
      <w:r w:rsidRPr="008011B9">
        <w:rPr>
          <w:rFonts w:cstheme="minorHAnsi"/>
          <w:color w:val="000000"/>
        </w:rPr>
        <w:t> </w:t>
      </w:r>
    </w:p>
    <w:tbl>
      <w:tblPr>
        <w:tblStyle w:val="AIRA2"/>
        <w:tblW w:w="0" w:type="auto"/>
        <w:tblLook w:val="04A0" w:firstRow="1" w:lastRow="0" w:firstColumn="1" w:lastColumn="0" w:noHBand="0" w:noVBand="1"/>
      </w:tblPr>
      <w:tblGrid>
        <w:gridCol w:w="3045"/>
        <w:gridCol w:w="1170"/>
        <w:gridCol w:w="2250"/>
      </w:tblGrid>
      <w:tr w:rsidR="000E1CBE" w:rsidRPr="008011B9" w14:paraId="17547749" w14:textId="77777777" w:rsidTr="00086BB8">
        <w:trPr>
          <w:cnfStyle w:val="100000000000" w:firstRow="1" w:lastRow="0" w:firstColumn="0" w:lastColumn="0" w:oddVBand="0" w:evenVBand="0" w:oddHBand="0" w:evenHBand="0" w:firstRowFirstColumn="0" w:firstRowLastColumn="0" w:lastRowFirstColumn="0" w:lastRowLastColumn="0"/>
          <w:trHeight w:val="27"/>
        </w:trPr>
        <w:tc>
          <w:tcPr>
            <w:tcW w:w="6465" w:type="dxa"/>
            <w:gridSpan w:val="3"/>
            <w:hideMark/>
          </w:tcPr>
          <w:p w14:paraId="43C929C6" w14:textId="77777777" w:rsidR="000E1CBE" w:rsidRPr="008011B9" w:rsidRDefault="000E1CBE" w:rsidP="00086BB8">
            <w:pPr>
              <w:spacing w:line="233" w:lineRule="atLeast"/>
              <w:rPr>
                <w:rFonts w:cstheme="minorHAnsi"/>
                <w:b w:val="0"/>
                <w:color w:val="201F1E"/>
              </w:rPr>
            </w:pPr>
            <w:r w:rsidRPr="008011B9">
              <w:rPr>
                <w:rFonts w:cstheme="minorHAnsi"/>
                <w:b w:val="0"/>
                <w:bCs/>
                <w:color w:val="FFFFFF"/>
              </w:rPr>
              <w:t>Call Center Numbers </w:t>
            </w:r>
          </w:p>
        </w:tc>
      </w:tr>
      <w:tr w:rsidR="000E1CBE" w:rsidRPr="008011B9" w14:paraId="36FA492B" w14:textId="77777777" w:rsidTr="00086BB8">
        <w:trPr>
          <w:cnfStyle w:val="000000100000" w:firstRow="0" w:lastRow="0" w:firstColumn="0" w:lastColumn="0" w:oddVBand="0" w:evenVBand="0" w:oddHBand="1" w:evenHBand="0" w:firstRowFirstColumn="0" w:firstRowLastColumn="0" w:lastRowFirstColumn="0" w:lastRowLastColumn="0"/>
          <w:trHeight w:val="51"/>
        </w:trPr>
        <w:tc>
          <w:tcPr>
            <w:tcW w:w="3045" w:type="dxa"/>
            <w:hideMark/>
          </w:tcPr>
          <w:p w14:paraId="1E70E3A5" w14:textId="77777777" w:rsidR="000E1CBE" w:rsidRPr="008011B9" w:rsidRDefault="000E1CBE" w:rsidP="00086BB8">
            <w:pPr>
              <w:spacing w:line="233" w:lineRule="atLeast"/>
              <w:rPr>
                <w:rFonts w:cstheme="minorHAnsi"/>
                <w:color w:val="201F1E"/>
              </w:rPr>
            </w:pPr>
            <w:r w:rsidRPr="008011B9">
              <w:rPr>
                <w:rFonts w:cstheme="minorHAnsi"/>
                <w:color w:val="000000"/>
              </w:rPr>
              <w:t>Regions 1-4 </w:t>
            </w:r>
          </w:p>
        </w:tc>
        <w:tc>
          <w:tcPr>
            <w:tcW w:w="1170" w:type="dxa"/>
            <w:tcBorders>
              <w:bottom w:val="single" w:sz="12" w:space="0" w:color="FFFFFF" w:themeColor="background1"/>
              <w:right w:val="nil"/>
            </w:tcBorders>
            <w:hideMark/>
          </w:tcPr>
          <w:p w14:paraId="6BD9E64A" w14:textId="77777777" w:rsidR="000E1CBE" w:rsidRPr="008011B9" w:rsidRDefault="000E1CBE" w:rsidP="00086BB8">
            <w:pPr>
              <w:spacing w:line="233" w:lineRule="atLeast"/>
              <w:rPr>
                <w:rFonts w:cstheme="minorHAnsi"/>
                <w:color w:val="201F1E"/>
              </w:rPr>
            </w:pPr>
            <w:r w:rsidRPr="008011B9">
              <w:rPr>
                <w:rFonts w:cstheme="minorHAnsi"/>
                <w:color w:val="000000"/>
              </w:rPr>
              <w:t>Toll-Free:</w:t>
            </w:r>
          </w:p>
          <w:p w14:paraId="21648B50" w14:textId="77777777" w:rsidR="000E1CBE" w:rsidRPr="008011B9" w:rsidRDefault="000E1CBE" w:rsidP="00086BB8">
            <w:pPr>
              <w:spacing w:line="233" w:lineRule="atLeast"/>
              <w:rPr>
                <w:rFonts w:cstheme="minorHAnsi"/>
                <w:color w:val="201F1E"/>
              </w:rPr>
            </w:pPr>
            <w:r w:rsidRPr="008011B9">
              <w:rPr>
                <w:rFonts w:cstheme="minorHAnsi"/>
                <w:color w:val="000000"/>
              </w:rPr>
              <w:t>Local:</w:t>
            </w:r>
          </w:p>
        </w:tc>
        <w:tc>
          <w:tcPr>
            <w:tcW w:w="2250" w:type="dxa"/>
            <w:tcBorders>
              <w:left w:val="nil"/>
              <w:bottom w:val="single" w:sz="12" w:space="0" w:color="FFFFFF" w:themeColor="background1"/>
            </w:tcBorders>
            <w:hideMark/>
          </w:tcPr>
          <w:p w14:paraId="29413B3B" w14:textId="77777777" w:rsidR="000E1CBE" w:rsidRPr="008011B9" w:rsidRDefault="000E1CBE" w:rsidP="00086BB8">
            <w:pPr>
              <w:spacing w:line="233" w:lineRule="atLeast"/>
              <w:jc w:val="right"/>
              <w:rPr>
                <w:rFonts w:cstheme="minorHAnsi"/>
                <w:color w:val="201F1E"/>
              </w:rPr>
            </w:pPr>
            <w:r w:rsidRPr="008011B9">
              <w:rPr>
                <w:rFonts w:cstheme="minorHAnsi"/>
                <w:color w:val="000000"/>
              </w:rPr>
              <w:t>1</w:t>
            </w:r>
            <w:r>
              <w:rPr>
                <w:rFonts w:cstheme="minorHAnsi"/>
                <w:color w:val="000000"/>
              </w:rPr>
              <w:t xml:space="preserve"> </w:t>
            </w:r>
            <w:r w:rsidRPr="008011B9">
              <w:rPr>
                <w:rFonts w:cstheme="minorHAnsi"/>
                <w:color w:val="000000"/>
              </w:rPr>
              <w:t>(833) 731 - 5110 </w:t>
            </w:r>
          </w:p>
          <w:p w14:paraId="4689FEA1" w14:textId="77777777" w:rsidR="000E1CBE" w:rsidRPr="008011B9" w:rsidRDefault="000E1CBE" w:rsidP="00086BB8">
            <w:pPr>
              <w:spacing w:line="233" w:lineRule="atLeast"/>
              <w:jc w:val="right"/>
              <w:rPr>
                <w:rFonts w:cstheme="minorHAnsi"/>
                <w:color w:val="201F1E"/>
              </w:rPr>
            </w:pPr>
            <w:r w:rsidRPr="008011B9">
              <w:rPr>
                <w:rFonts w:cstheme="minorHAnsi"/>
                <w:color w:val="000000"/>
              </w:rPr>
              <w:t>(404) 718 - 8110 </w:t>
            </w:r>
          </w:p>
        </w:tc>
      </w:tr>
      <w:tr w:rsidR="000E1CBE" w:rsidRPr="008011B9" w14:paraId="75BC22AC" w14:textId="77777777" w:rsidTr="00086BB8">
        <w:trPr>
          <w:cnfStyle w:val="000000010000" w:firstRow="0" w:lastRow="0" w:firstColumn="0" w:lastColumn="0" w:oddVBand="0" w:evenVBand="0" w:oddHBand="0" w:evenHBand="1" w:firstRowFirstColumn="0" w:firstRowLastColumn="0" w:lastRowFirstColumn="0" w:lastRowLastColumn="0"/>
          <w:trHeight w:val="50"/>
        </w:trPr>
        <w:tc>
          <w:tcPr>
            <w:tcW w:w="3045" w:type="dxa"/>
            <w:hideMark/>
          </w:tcPr>
          <w:p w14:paraId="3AD5D8ED" w14:textId="77777777" w:rsidR="000E1CBE" w:rsidRPr="008011B9" w:rsidRDefault="000E1CBE" w:rsidP="00086BB8">
            <w:pPr>
              <w:spacing w:line="233" w:lineRule="atLeast"/>
              <w:rPr>
                <w:rFonts w:cstheme="minorHAnsi"/>
                <w:color w:val="201F1E"/>
              </w:rPr>
            </w:pPr>
            <w:r w:rsidRPr="008011B9">
              <w:rPr>
                <w:rFonts w:cstheme="minorHAnsi"/>
                <w:color w:val="000000"/>
              </w:rPr>
              <w:t>Regions 5-7 </w:t>
            </w:r>
          </w:p>
        </w:tc>
        <w:tc>
          <w:tcPr>
            <w:tcW w:w="1170" w:type="dxa"/>
            <w:tcBorders>
              <w:bottom w:val="single" w:sz="12" w:space="0" w:color="FFFFFF" w:themeColor="background1"/>
              <w:right w:val="nil"/>
            </w:tcBorders>
            <w:hideMark/>
          </w:tcPr>
          <w:p w14:paraId="38EFE1ED" w14:textId="77777777" w:rsidR="000E1CBE" w:rsidRPr="008011B9" w:rsidRDefault="000E1CBE" w:rsidP="00086BB8">
            <w:pPr>
              <w:spacing w:line="233" w:lineRule="atLeast"/>
              <w:rPr>
                <w:rFonts w:cstheme="minorHAnsi"/>
                <w:color w:val="201F1E"/>
              </w:rPr>
            </w:pPr>
            <w:r w:rsidRPr="008011B9">
              <w:rPr>
                <w:rFonts w:cstheme="minorHAnsi"/>
                <w:color w:val="000000"/>
              </w:rPr>
              <w:t>Toll-Free:</w:t>
            </w:r>
          </w:p>
          <w:p w14:paraId="65BB152A" w14:textId="77777777" w:rsidR="000E1CBE" w:rsidRPr="008011B9" w:rsidRDefault="000E1CBE" w:rsidP="00086BB8">
            <w:pPr>
              <w:spacing w:line="233" w:lineRule="atLeast"/>
              <w:rPr>
                <w:rFonts w:cstheme="minorHAnsi"/>
                <w:color w:val="201F1E"/>
              </w:rPr>
            </w:pPr>
            <w:r w:rsidRPr="008011B9">
              <w:rPr>
                <w:rFonts w:cstheme="minorHAnsi"/>
                <w:color w:val="000000"/>
              </w:rPr>
              <w:t>Local: </w:t>
            </w:r>
          </w:p>
        </w:tc>
        <w:tc>
          <w:tcPr>
            <w:tcW w:w="2250" w:type="dxa"/>
            <w:tcBorders>
              <w:left w:val="nil"/>
              <w:bottom w:val="single" w:sz="12" w:space="0" w:color="FFFFFF" w:themeColor="background1"/>
            </w:tcBorders>
            <w:hideMark/>
          </w:tcPr>
          <w:p w14:paraId="5527E4D1" w14:textId="77777777" w:rsidR="000E1CBE" w:rsidRPr="008011B9" w:rsidRDefault="000E1CBE" w:rsidP="00086BB8">
            <w:pPr>
              <w:spacing w:line="233" w:lineRule="atLeast"/>
              <w:jc w:val="right"/>
              <w:rPr>
                <w:rFonts w:cstheme="minorHAnsi"/>
                <w:color w:val="201F1E"/>
              </w:rPr>
            </w:pPr>
            <w:r w:rsidRPr="008011B9">
              <w:rPr>
                <w:rFonts w:cstheme="minorHAnsi"/>
                <w:color w:val="000000"/>
              </w:rPr>
              <w:t>1</w:t>
            </w:r>
            <w:r>
              <w:rPr>
                <w:rFonts w:cstheme="minorHAnsi"/>
                <w:color w:val="000000"/>
              </w:rPr>
              <w:t xml:space="preserve"> </w:t>
            </w:r>
            <w:r w:rsidRPr="008011B9">
              <w:rPr>
                <w:rFonts w:cstheme="minorHAnsi"/>
                <w:color w:val="000000"/>
              </w:rPr>
              <w:t>(833) 348 - 7409 </w:t>
            </w:r>
          </w:p>
          <w:p w14:paraId="768209BA" w14:textId="77777777" w:rsidR="000E1CBE" w:rsidRPr="008011B9" w:rsidRDefault="000E1CBE" w:rsidP="00086BB8">
            <w:pPr>
              <w:spacing w:line="233" w:lineRule="atLeast"/>
              <w:jc w:val="right"/>
              <w:rPr>
                <w:rFonts w:cstheme="minorHAnsi"/>
                <w:color w:val="201F1E"/>
              </w:rPr>
            </w:pPr>
            <w:r w:rsidRPr="008011B9">
              <w:rPr>
                <w:rFonts w:cstheme="minorHAnsi"/>
                <w:color w:val="000000"/>
              </w:rPr>
              <w:t>(404) 718 - 8111 </w:t>
            </w:r>
          </w:p>
        </w:tc>
      </w:tr>
      <w:tr w:rsidR="000E1CBE" w:rsidRPr="008011B9" w14:paraId="21406951" w14:textId="77777777" w:rsidTr="00086BB8">
        <w:trPr>
          <w:cnfStyle w:val="000000100000" w:firstRow="0" w:lastRow="0" w:firstColumn="0" w:lastColumn="0" w:oddVBand="0" w:evenVBand="0" w:oddHBand="1" w:evenHBand="0" w:firstRowFirstColumn="0" w:firstRowLastColumn="0" w:lastRowFirstColumn="0" w:lastRowLastColumn="0"/>
          <w:trHeight w:val="51"/>
        </w:trPr>
        <w:tc>
          <w:tcPr>
            <w:tcW w:w="3045" w:type="dxa"/>
            <w:hideMark/>
          </w:tcPr>
          <w:p w14:paraId="4D8B154C" w14:textId="77777777" w:rsidR="000E1CBE" w:rsidRPr="008011B9" w:rsidRDefault="000E1CBE" w:rsidP="00086BB8">
            <w:pPr>
              <w:spacing w:line="233" w:lineRule="atLeast"/>
              <w:rPr>
                <w:rFonts w:cstheme="minorHAnsi"/>
                <w:color w:val="201F1E"/>
              </w:rPr>
            </w:pPr>
            <w:r w:rsidRPr="008011B9">
              <w:rPr>
                <w:rFonts w:cstheme="minorHAnsi"/>
                <w:color w:val="000000"/>
              </w:rPr>
              <w:t>Regions 8-10 </w:t>
            </w:r>
          </w:p>
        </w:tc>
        <w:tc>
          <w:tcPr>
            <w:tcW w:w="1170" w:type="dxa"/>
            <w:tcBorders>
              <w:right w:val="nil"/>
            </w:tcBorders>
            <w:hideMark/>
          </w:tcPr>
          <w:p w14:paraId="6BBCE557" w14:textId="77777777" w:rsidR="000E1CBE" w:rsidRPr="008011B9" w:rsidRDefault="000E1CBE" w:rsidP="00086BB8">
            <w:pPr>
              <w:spacing w:line="233" w:lineRule="atLeast"/>
              <w:rPr>
                <w:rFonts w:cstheme="minorHAnsi"/>
                <w:color w:val="201F1E"/>
              </w:rPr>
            </w:pPr>
            <w:r w:rsidRPr="008011B9">
              <w:rPr>
                <w:rFonts w:cstheme="minorHAnsi"/>
                <w:color w:val="000000"/>
              </w:rPr>
              <w:t>Toll-Free:</w:t>
            </w:r>
          </w:p>
          <w:p w14:paraId="48B7278D" w14:textId="77777777" w:rsidR="000E1CBE" w:rsidRPr="008011B9" w:rsidRDefault="000E1CBE" w:rsidP="00086BB8">
            <w:pPr>
              <w:spacing w:line="233" w:lineRule="atLeast"/>
              <w:rPr>
                <w:rFonts w:cstheme="minorHAnsi"/>
                <w:color w:val="201F1E"/>
              </w:rPr>
            </w:pPr>
            <w:r w:rsidRPr="008011B9">
              <w:rPr>
                <w:rFonts w:cstheme="minorHAnsi"/>
                <w:color w:val="000000"/>
              </w:rPr>
              <w:t>Local: </w:t>
            </w:r>
          </w:p>
        </w:tc>
        <w:tc>
          <w:tcPr>
            <w:tcW w:w="2250" w:type="dxa"/>
            <w:tcBorders>
              <w:left w:val="nil"/>
            </w:tcBorders>
            <w:hideMark/>
          </w:tcPr>
          <w:p w14:paraId="35752A42" w14:textId="77777777" w:rsidR="000E1CBE" w:rsidRPr="008011B9" w:rsidRDefault="000E1CBE" w:rsidP="00086BB8">
            <w:pPr>
              <w:spacing w:line="233" w:lineRule="atLeast"/>
              <w:jc w:val="right"/>
              <w:rPr>
                <w:rFonts w:cstheme="minorHAnsi"/>
                <w:color w:val="201F1E"/>
              </w:rPr>
            </w:pPr>
            <w:r w:rsidRPr="008011B9">
              <w:rPr>
                <w:rFonts w:cstheme="minorHAnsi"/>
                <w:color w:val="000000"/>
              </w:rPr>
              <w:t>1</w:t>
            </w:r>
            <w:r>
              <w:rPr>
                <w:rFonts w:cstheme="minorHAnsi"/>
                <w:color w:val="000000"/>
              </w:rPr>
              <w:t xml:space="preserve"> </w:t>
            </w:r>
            <w:r w:rsidRPr="008011B9">
              <w:rPr>
                <w:rFonts w:cstheme="minorHAnsi"/>
                <w:color w:val="000000"/>
              </w:rPr>
              <w:t>(833) 896 - 8952 </w:t>
            </w:r>
          </w:p>
          <w:p w14:paraId="6AE2FE3D" w14:textId="77777777" w:rsidR="000E1CBE" w:rsidRPr="008011B9" w:rsidRDefault="000E1CBE" w:rsidP="00086BB8">
            <w:pPr>
              <w:spacing w:line="233" w:lineRule="atLeast"/>
              <w:jc w:val="right"/>
              <w:rPr>
                <w:rFonts w:cstheme="minorHAnsi"/>
                <w:color w:val="201F1E"/>
              </w:rPr>
            </w:pPr>
            <w:r w:rsidRPr="008011B9">
              <w:rPr>
                <w:rFonts w:cstheme="minorHAnsi"/>
                <w:color w:val="000000"/>
              </w:rPr>
              <w:t>(404) 718 - 8112 </w:t>
            </w:r>
          </w:p>
        </w:tc>
      </w:tr>
    </w:tbl>
    <w:p w14:paraId="34A7F2EA" w14:textId="77777777" w:rsidR="000E1CBE" w:rsidRPr="00276BBC" w:rsidRDefault="000E1CBE" w:rsidP="00D03D7C">
      <w:pPr>
        <w:pStyle w:val="NoSpacing"/>
        <w:rPr>
          <w:color w:val="000000"/>
        </w:rPr>
      </w:pPr>
    </w:p>
    <w:sectPr w:rsidR="000E1CBE" w:rsidRPr="00276BBC" w:rsidSect="00B24572">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162D98" w14:textId="77777777" w:rsidR="006D42FF" w:rsidRDefault="006D42FF" w:rsidP="009808D6">
      <w:pPr>
        <w:spacing w:after="0"/>
      </w:pPr>
      <w:r>
        <w:separator/>
      </w:r>
    </w:p>
  </w:endnote>
  <w:endnote w:type="continuationSeparator" w:id="0">
    <w:p w14:paraId="24AE4171" w14:textId="77777777" w:rsidR="006D42FF" w:rsidRDefault="006D42FF" w:rsidP="009808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Open Sans Light">
    <w:panose1 w:val="020B03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Roboto Black">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8765667"/>
      <w:docPartObj>
        <w:docPartGallery w:val="Page Numbers (Bottom of Page)"/>
        <w:docPartUnique/>
      </w:docPartObj>
    </w:sdtPr>
    <w:sdtEndPr>
      <w:rPr>
        <w:color w:val="7F7F7F" w:themeColor="background1" w:themeShade="7F"/>
        <w:spacing w:val="60"/>
      </w:rPr>
    </w:sdtEndPr>
    <w:sdtContent>
      <w:p w14:paraId="644DD74E" w14:textId="77777777" w:rsidR="00B24572" w:rsidRDefault="00B24572" w:rsidP="00B24572">
        <w:pPr>
          <w:pStyle w:val="Footer"/>
          <w:pBdr>
            <w:top w:val="single" w:sz="4" w:space="1" w:color="D9D9D9" w:themeColor="background1" w:themeShade="D9"/>
          </w:pBdr>
          <w:jc w:val="right"/>
        </w:pPr>
        <w:r>
          <w:t xml:space="preserve"> </w:t>
        </w:r>
        <w:r>
          <w:fldChar w:fldCharType="begin"/>
        </w:r>
        <w:r>
          <w:instrText xml:space="preserve"> PAGE   \* MERGEFORMAT </w:instrText>
        </w:r>
        <w:r>
          <w:fldChar w:fldCharType="separate"/>
        </w:r>
        <w:r>
          <w:t>1</w:t>
        </w:r>
        <w:r>
          <w:rPr>
            <w:noProof/>
          </w:rPr>
          <w:fldChar w:fldCharType="end"/>
        </w:r>
      </w:p>
    </w:sdtContent>
  </w:sdt>
  <w:p w14:paraId="1883CC9E" w14:textId="77777777" w:rsidR="00B24572" w:rsidRDefault="00B24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B5673A" w14:textId="77777777" w:rsidR="006D42FF" w:rsidRDefault="006D42FF" w:rsidP="009808D6">
      <w:pPr>
        <w:spacing w:after="0"/>
      </w:pPr>
      <w:r>
        <w:separator/>
      </w:r>
    </w:p>
  </w:footnote>
  <w:footnote w:type="continuationSeparator" w:id="0">
    <w:p w14:paraId="35336C90" w14:textId="77777777" w:rsidR="006D42FF" w:rsidRDefault="006D42FF" w:rsidP="009808D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70383F"/>
    <w:multiLevelType w:val="hybridMultilevel"/>
    <w:tmpl w:val="FB1AC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DD0DCE"/>
    <w:multiLevelType w:val="hybridMultilevel"/>
    <w:tmpl w:val="84CC0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1B251A"/>
    <w:multiLevelType w:val="hybridMultilevel"/>
    <w:tmpl w:val="168EB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D34410"/>
    <w:multiLevelType w:val="hybridMultilevel"/>
    <w:tmpl w:val="C316C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4B40CE"/>
    <w:multiLevelType w:val="hybridMultilevel"/>
    <w:tmpl w:val="C4E86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FC3D72"/>
    <w:multiLevelType w:val="multilevel"/>
    <w:tmpl w:val="DC0EB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8B6"/>
    <w:rsid w:val="00023D63"/>
    <w:rsid w:val="000472E3"/>
    <w:rsid w:val="00062849"/>
    <w:rsid w:val="000676EA"/>
    <w:rsid w:val="000729A4"/>
    <w:rsid w:val="000775B6"/>
    <w:rsid w:val="000A18D8"/>
    <w:rsid w:val="000E1CBE"/>
    <w:rsid w:val="000E31F9"/>
    <w:rsid w:val="000E5B03"/>
    <w:rsid w:val="00133FD8"/>
    <w:rsid w:val="00151C7F"/>
    <w:rsid w:val="00160769"/>
    <w:rsid w:val="001A392C"/>
    <w:rsid w:val="001A4293"/>
    <w:rsid w:val="001C0DD6"/>
    <w:rsid w:val="001D1A62"/>
    <w:rsid w:val="001E40C1"/>
    <w:rsid w:val="00242253"/>
    <w:rsid w:val="002456B8"/>
    <w:rsid w:val="00276BBC"/>
    <w:rsid w:val="002C2C27"/>
    <w:rsid w:val="002E0195"/>
    <w:rsid w:val="002E68E5"/>
    <w:rsid w:val="002F7D66"/>
    <w:rsid w:val="00304767"/>
    <w:rsid w:val="00304922"/>
    <w:rsid w:val="00341F4C"/>
    <w:rsid w:val="00364127"/>
    <w:rsid w:val="0036531D"/>
    <w:rsid w:val="00380517"/>
    <w:rsid w:val="00401E9D"/>
    <w:rsid w:val="00404D45"/>
    <w:rsid w:val="004515F4"/>
    <w:rsid w:val="00473316"/>
    <w:rsid w:val="00486015"/>
    <w:rsid w:val="004C302D"/>
    <w:rsid w:val="004D5427"/>
    <w:rsid w:val="005000CC"/>
    <w:rsid w:val="00537BB1"/>
    <w:rsid w:val="00541DC8"/>
    <w:rsid w:val="00555388"/>
    <w:rsid w:val="005653D3"/>
    <w:rsid w:val="005C4277"/>
    <w:rsid w:val="005F212D"/>
    <w:rsid w:val="00610993"/>
    <w:rsid w:val="006173FF"/>
    <w:rsid w:val="0062589C"/>
    <w:rsid w:val="006342FC"/>
    <w:rsid w:val="006A4562"/>
    <w:rsid w:val="006D42FF"/>
    <w:rsid w:val="006E414A"/>
    <w:rsid w:val="006E6BA4"/>
    <w:rsid w:val="006F193E"/>
    <w:rsid w:val="00700A1A"/>
    <w:rsid w:val="00723876"/>
    <w:rsid w:val="00736BE5"/>
    <w:rsid w:val="007520E1"/>
    <w:rsid w:val="00763F45"/>
    <w:rsid w:val="00782765"/>
    <w:rsid w:val="00786AFB"/>
    <w:rsid w:val="0078748F"/>
    <w:rsid w:val="007A38B6"/>
    <w:rsid w:val="007B5F27"/>
    <w:rsid w:val="00820623"/>
    <w:rsid w:val="0083700B"/>
    <w:rsid w:val="008400F2"/>
    <w:rsid w:val="008F4320"/>
    <w:rsid w:val="00957017"/>
    <w:rsid w:val="00972665"/>
    <w:rsid w:val="009808D6"/>
    <w:rsid w:val="009A1EC0"/>
    <w:rsid w:val="009B0862"/>
    <w:rsid w:val="009B5960"/>
    <w:rsid w:val="009D1124"/>
    <w:rsid w:val="00A21F1A"/>
    <w:rsid w:val="00A260FA"/>
    <w:rsid w:val="00A3517A"/>
    <w:rsid w:val="00A84F88"/>
    <w:rsid w:val="00A86965"/>
    <w:rsid w:val="00A942CB"/>
    <w:rsid w:val="00AC537C"/>
    <w:rsid w:val="00AE0A81"/>
    <w:rsid w:val="00AF5A33"/>
    <w:rsid w:val="00B24572"/>
    <w:rsid w:val="00B51AD2"/>
    <w:rsid w:val="00B67611"/>
    <w:rsid w:val="00B86E8B"/>
    <w:rsid w:val="00B92211"/>
    <w:rsid w:val="00BC392B"/>
    <w:rsid w:val="00BF1AA7"/>
    <w:rsid w:val="00BF4935"/>
    <w:rsid w:val="00C10AF7"/>
    <w:rsid w:val="00C14B7C"/>
    <w:rsid w:val="00C15225"/>
    <w:rsid w:val="00C27DA8"/>
    <w:rsid w:val="00C73292"/>
    <w:rsid w:val="00C8451F"/>
    <w:rsid w:val="00CB18C6"/>
    <w:rsid w:val="00CC58BB"/>
    <w:rsid w:val="00D03D7C"/>
    <w:rsid w:val="00D0750F"/>
    <w:rsid w:val="00D1027B"/>
    <w:rsid w:val="00D405EB"/>
    <w:rsid w:val="00D94D4E"/>
    <w:rsid w:val="00DD346E"/>
    <w:rsid w:val="00DE387F"/>
    <w:rsid w:val="00E00E2F"/>
    <w:rsid w:val="00E01595"/>
    <w:rsid w:val="00E02B5B"/>
    <w:rsid w:val="00E26353"/>
    <w:rsid w:val="00E40C31"/>
    <w:rsid w:val="00E82035"/>
    <w:rsid w:val="00EF1043"/>
    <w:rsid w:val="00F76CE3"/>
    <w:rsid w:val="00F87FD0"/>
    <w:rsid w:val="00FA19E3"/>
    <w:rsid w:val="00FB05C3"/>
    <w:rsid w:val="00FB1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BBCFF8"/>
  <w14:defaultImageDpi w14:val="32767"/>
  <w15:chartTrackingRefBased/>
  <w15:docId w15:val="{B286F5ED-F313-42B3-9C2D-62B0B62BD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DC8"/>
  </w:style>
  <w:style w:type="paragraph" w:styleId="Heading1">
    <w:name w:val="heading 1"/>
    <w:basedOn w:val="Normal"/>
    <w:next w:val="Normal"/>
    <w:link w:val="Heading1Char"/>
    <w:uiPriority w:val="9"/>
    <w:qFormat/>
    <w:rsid w:val="001C0DD6"/>
    <w:pPr>
      <w:keepNext/>
      <w:keepLines/>
      <w:spacing w:before="240" w:after="0"/>
      <w:outlineLvl w:val="0"/>
    </w:pPr>
    <w:rPr>
      <w:rFonts w:asciiTheme="majorHAnsi" w:eastAsiaTheme="majorEastAsia" w:hAnsiTheme="majorHAnsi" w:cstheme="majorBidi"/>
      <w:color w:val="629F44"/>
      <w:sz w:val="32"/>
      <w:szCs w:val="32"/>
    </w:rPr>
  </w:style>
  <w:style w:type="paragraph" w:styleId="Heading2">
    <w:name w:val="heading 2"/>
    <w:basedOn w:val="Normal"/>
    <w:next w:val="Normal"/>
    <w:link w:val="Heading2Char"/>
    <w:uiPriority w:val="9"/>
    <w:unhideWhenUsed/>
    <w:qFormat/>
    <w:rsid w:val="001C0DD6"/>
    <w:pPr>
      <w:keepNext/>
      <w:keepLines/>
      <w:spacing w:before="40" w:after="0"/>
      <w:outlineLvl w:val="1"/>
    </w:pPr>
    <w:rPr>
      <w:rFonts w:asciiTheme="majorHAnsi" w:eastAsiaTheme="majorEastAsia" w:hAnsiTheme="majorHAnsi" w:cstheme="majorBidi"/>
      <w:color w:val="629F44" w:themeColor="accent1"/>
      <w:sz w:val="26"/>
      <w:szCs w:val="26"/>
    </w:rPr>
  </w:style>
  <w:style w:type="paragraph" w:styleId="Heading3">
    <w:name w:val="heading 3"/>
    <w:basedOn w:val="Normal"/>
    <w:next w:val="Normal"/>
    <w:link w:val="Heading3Char"/>
    <w:uiPriority w:val="9"/>
    <w:unhideWhenUsed/>
    <w:qFormat/>
    <w:rsid w:val="001C0DD6"/>
    <w:pPr>
      <w:keepNext/>
      <w:keepLines/>
      <w:spacing w:before="40" w:after="0"/>
      <w:outlineLvl w:val="2"/>
    </w:pPr>
    <w:rPr>
      <w:rFonts w:asciiTheme="majorHAnsi" w:eastAsiaTheme="majorEastAsia" w:hAnsiTheme="majorHAnsi" w:cstheme="majorBidi"/>
      <w:color w:val="1C3C50" w:themeColor="accent2"/>
      <w:sz w:val="24"/>
      <w:szCs w:val="24"/>
    </w:rPr>
  </w:style>
  <w:style w:type="paragraph" w:styleId="Heading4">
    <w:name w:val="heading 4"/>
    <w:basedOn w:val="Normal"/>
    <w:next w:val="Normal"/>
    <w:link w:val="Heading4Char"/>
    <w:uiPriority w:val="9"/>
    <w:semiHidden/>
    <w:unhideWhenUsed/>
    <w:qFormat/>
    <w:rsid w:val="001C0DD6"/>
    <w:pPr>
      <w:keepNext/>
      <w:keepLines/>
      <w:spacing w:before="40" w:after="0"/>
      <w:outlineLvl w:val="3"/>
    </w:pPr>
    <w:rPr>
      <w:rFonts w:asciiTheme="majorHAnsi" w:eastAsiaTheme="majorEastAsia" w:hAnsiTheme="majorHAnsi" w:cstheme="majorBidi"/>
      <w:i/>
      <w:iCs/>
      <w:color w:val="629F4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DC8"/>
    <w:rPr>
      <w:color w:val="629F44" w:themeColor="hyperlink"/>
      <w:u w:val="single"/>
    </w:rPr>
  </w:style>
  <w:style w:type="character" w:styleId="UnresolvedMention">
    <w:name w:val="Unresolved Mention"/>
    <w:basedOn w:val="DefaultParagraphFont"/>
    <w:uiPriority w:val="99"/>
    <w:semiHidden/>
    <w:unhideWhenUsed/>
    <w:rsid w:val="00541DC8"/>
    <w:rPr>
      <w:color w:val="808080"/>
      <w:shd w:val="clear" w:color="auto" w:fill="E6E6E6"/>
    </w:rPr>
  </w:style>
  <w:style w:type="paragraph" w:styleId="Title">
    <w:name w:val="Title"/>
    <w:basedOn w:val="Normal"/>
    <w:next w:val="Normal"/>
    <w:link w:val="TitleChar"/>
    <w:uiPriority w:val="10"/>
    <w:qFormat/>
    <w:rsid w:val="006A4562"/>
    <w:pPr>
      <w:spacing w:after="0"/>
      <w:contextualSpacing/>
    </w:pPr>
    <w:rPr>
      <w:rFonts w:asciiTheme="majorHAnsi" w:eastAsiaTheme="majorEastAsia" w:hAnsiTheme="majorHAnsi" w:cstheme="majorBidi"/>
      <w:color w:val="1C3C50" w:themeColor="accent2"/>
      <w:spacing w:val="-10"/>
      <w:kern w:val="28"/>
      <w:sz w:val="56"/>
      <w:szCs w:val="56"/>
    </w:rPr>
  </w:style>
  <w:style w:type="character" w:customStyle="1" w:styleId="TitleChar">
    <w:name w:val="Title Char"/>
    <w:basedOn w:val="DefaultParagraphFont"/>
    <w:link w:val="Title"/>
    <w:uiPriority w:val="10"/>
    <w:rsid w:val="006A4562"/>
    <w:rPr>
      <w:rFonts w:asciiTheme="majorHAnsi" w:eastAsiaTheme="majorEastAsia" w:hAnsiTheme="majorHAnsi" w:cstheme="majorBidi"/>
      <w:color w:val="1C3C50" w:themeColor="accent2"/>
      <w:spacing w:val="-10"/>
      <w:kern w:val="28"/>
      <w:sz w:val="56"/>
      <w:szCs w:val="56"/>
    </w:rPr>
  </w:style>
  <w:style w:type="character" w:customStyle="1" w:styleId="Heading1Char">
    <w:name w:val="Heading 1 Char"/>
    <w:basedOn w:val="DefaultParagraphFont"/>
    <w:link w:val="Heading1"/>
    <w:uiPriority w:val="9"/>
    <w:rsid w:val="001C0DD6"/>
    <w:rPr>
      <w:rFonts w:asciiTheme="majorHAnsi" w:eastAsiaTheme="majorEastAsia" w:hAnsiTheme="majorHAnsi" w:cstheme="majorBidi"/>
      <w:color w:val="629F44"/>
      <w:sz w:val="32"/>
      <w:szCs w:val="32"/>
    </w:rPr>
  </w:style>
  <w:style w:type="character" w:customStyle="1" w:styleId="Heading3Char">
    <w:name w:val="Heading 3 Char"/>
    <w:basedOn w:val="DefaultParagraphFont"/>
    <w:link w:val="Heading3"/>
    <w:uiPriority w:val="9"/>
    <w:rsid w:val="001C0DD6"/>
    <w:rPr>
      <w:rFonts w:asciiTheme="majorHAnsi" w:eastAsiaTheme="majorEastAsia" w:hAnsiTheme="majorHAnsi" w:cstheme="majorBidi"/>
      <w:color w:val="1C3C50" w:themeColor="accent2"/>
      <w:sz w:val="24"/>
      <w:szCs w:val="24"/>
    </w:rPr>
  </w:style>
  <w:style w:type="character" w:customStyle="1" w:styleId="Heading2Char">
    <w:name w:val="Heading 2 Char"/>
    <w:basedOn w:val="DefaultParagraphFont"/>
    <w:link w:val="Heading2"/>
    <w:uiPriority w:val="9"/>
    <w:rsid w:val="001C0DD6"/>
    <w:rPr>
      <w:rFonts w:asciiTheme="majorHAnsi" w:eastAsiaTheme="majorEastAsia" w:hAnsiTheme="majorHAnsi" w:cstheme="majorBidi"/>
      <w:color w:val="629F44" w:themeColor="accent1"/>
      <w:sz w:val="26"/>
      <w:szCs w:val="26"/>
    </w:rPr>
  </w:style>
  <w:style w:type="character" w:customStyle="1" w:styleId="Heading4Char">
    <w:name w:val="Heading 4 Char"/>
    <w:basedOn w:val="DefaultParagraphFont"/>
    <w:link w:val="Heading4"/>
    <w:uiPriority w:val="9"/>
    <w:semiHidden/>
    <w:rsid w:val="001C0DD6"/>
    <w:rPr>
      <w:rFonts w:asciiTheme="majorHAnsi" w:eastAsiaTheme="majorEastAsia" w:hAnsiTheme="majorHAnsi" w:cstheme="majorBidi"/>
      <w:i/>
      <w:iCs/>
      <w:color w:val="629F44" w:themeColor="accent1"/>
    </w:rPr>
  </w:style>
  <w:style w:type="paragraph" w:styleId="NoSpacing">
    <w:name w:val="No Spacing"/>
    <w:uiPriority w:val="1"/>
    <w:rsid w:val="001C0DD6"/>
    <w:pPr>
      <w:spacing w:after="0"/>
    </w:pPr>
  </w:style>
  <w:style w:type="character" w:styleId="SubtleEmphasis">
    <w:name w:val="Subtle Emphasis"/>
    <w:basedOn w:val="DefaultParagraphFont"/>
    <w:uiPriority w:val="19"/>
    <w:qFormat/>
    <w:rsid w:val="001C0DD6"/>
    <w:rPr>
      <w:i/>
      <w:iCs/>
      <w:color w:val="404040" w:themeColor="text1" w:themeTint="BF"/>
    </w:rPr>
  </w:style>
  <w:style w:type="paragraph" w:styleId="Header">
    <w:name w:val="header"/>
    <w:basedOn w:val="Normal"/>
    <w:link w:val="HeaderChar"/>
    <w:uiPriority w:val="99"/>
    <w:unhideWhenUsed/>
    <w:rsid w:val="009808D6"/>
    <w:pPr>
      <w:tabs>
        <w:tab w:val="center" w:pos="4680"/>
        <w:tab w:val="right" w:pos="9360"/>
      </w:tabs>
      <w:spacing w:after="0"/>
    </w:pPr>
  </w:style>
  <w:style w:type="character" w:customStyle="1" w:styleId="HeaderChar">
    <w:name w:val="Header Char"/>
    <w:basedOn w:val="DefaultParagraphFont"/>
    <w:link w:val="Header"/>
    <w:uiPriority w:val="99"/>
    <w:rsid w:val="009808D6"/>
  </w:style>
  <w:style w:type="paragraph" w:styleId="Footer">
    <w:name w:val="footer"/>
    <w:basedOn w:val="Normal"/>
    <w:link w:val="FooterChar"/>
    <w:uiPriority w:val="99"/>
    <w:unhideWhenUsed/>
    <w:rsid w:val="009808D6"/>
    <w:pPr>
      <w:tabs>
        <w:tab w:val="center" w:pos="4680"/>
        <w:tab w:val="right" w:pos="9360"/>
      </w:tabs>
      <w:spacing w:after="0"/>
    </w:pPr>
  </w:style>
  <w:style w:type="character" w:customStyle="1" w:styleId="FooterChar">
    <w:name w:val="Footer Char"/>
    <w:basedOn w:val="DefaultParagraphFont"/>
    <w:link w:val="Footer"/>
    <w:uiPriority w:val="99"/>
    <w:rsid w:val="009808D6"/>
  </w:style>
  <w:style w:type="table" w:styleId="TableGrid">
    <w:name w:val="Table Grid"/>
    <w:basedOn w:val="TableNormal"/>
    <w:uiPriority w:val="39"/>
    <w:rsid w:val="009808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2">
    <w:name w:val="List Table 3 Accent 2"/>
    <w:aliases w:val="AIRA Table"/>
    <w:basedOn w:val="TableNormal"/>
    <w:uiPriority w:val="48"/>
    <w:rsid w:val="009808D6"/>
    <w:pPr>
      <w:spacing w:after="0"/>
    </w:pPr>
    <w:tblPr>
      <w:tblStyleRowBandSize w:val="1"/>
      <w:tblStyleColBandSize w:val="1"/>
      <w:tblBorders>
        <w:top w:val="single" w:sz="4" w:space="0" w:color="1C3C50" w:themeColor="accent2"/>
        <w:left w:val="single" w:sz="4" w:space="0" w:color="1C3C50" w:themeColor="accent2"/>
        <w:bottom w:val="single" w:sz="4" w:space="0" w:color="1C3C50" w:themeColor="accent2"/>
        <w:right w:val="single" w:sz="4" w:space="0" w:color="1C3C50" w:themeColor="accent2"/>
      </w:tblBorders>
    </w:tblPr>
    <w:tblStylePr w:type="firstRow">
      <w:rPr>
        <w:b/>
        <w:bCs/>
        <w:color w:val="FFFFFF" w:themeColor="background1"/>
      </w:rPr>
      <w:tblPr/>
      <w:tcPr>
        <w:shd w:val="clear" w:color="auto" w:fill="1C3C50" w:themeFill="accent2"/>
      </w:tcPr>
    </w:tblStylePr>
    <w:tblStylePr w:type="lastRow">
      <w:rPr>
        <w:b/>
        <w:bCs/>
      </w:rPr>
      <w:tblPr/>
      <w:tcPr>
        <w:tcBorders>
          <w:top w:val="double" w:sz="4" w:space="0" w:color="1C3C5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3C50" w:themeColor="accent2"/>
          <w:right w:val="single" w:sz="4" w:space="0" w:color="1C3C50" w:themeColor="accent2"/>
        </w:tcBorders>
      </w:tcPr>
    </w:tblStylePr>
    <w:tblStylePr w:type="band1Horz">
      <w:tblPr/>
      <w:tcPr>
        <w:shd w:val="clear" w:color="auto" w:fill="F2F2F2" w:themeFill="accent6"/>
      </w:tcPr>
    </w:tblStylePr>
    <w:tblStylePr w:type="band2Horz">
      <w:tblPr/>
      <w:tcPr>
        <w:shd w:val="clear" w:color="auto" w:fill="CCD5DA" w:themeFill="accent3" w:themeFillTint="66"/>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3C50" w:themeColor="accent2"/>
          <w:left w:val="nil"/>
        </w:tcBorders>
      </w:tcPr>
    </w:tblStylePr>
    <w:tblStylePr w:type="swCell">
      <w:tblPr/>
      <w:tcPr>
        <w:tcBorders>
          <w:top w:val="double" w:sz="4" w:space="0" w:color="1C3C50" w:themeColor="accent2"/>
          <w:right w:val="nil"/>
        </w:tcBorders>
      </w:tcPr>
    </w:tblStylePr>
  </w:style>
  <w:style w:type="character" w:styleId="Strong">
    <w:name w:val="Strong"/>
    <w:aliases w:val="Tables &amp; Figures"/>
    <w:basedOn w:val="DefaultParagraphFont"/>
    <w:uiPriority w:val="22"/>
    <w:qFormat/>
    <w:rsid w:val="00E40C31"/>
    <w:rPr>
      <w:rFonts w:asciiTheme="minorHAnsi" w:hAnsiTheme="minorHAnsi"/>
      <w:b/>
      <w:bCs/>
      <w:color w:val="1C3C50" w:themeColor="accent2"/>
      <w:sz w:val="22"/>
    </w:rPr>
  </w:style>
  <w:style w:type="paragraph" w:styleId="ListParagraph">
    <w:name w:val="List Paragraph"/>
    <w:aliases w:val="Indented Paragraph"/>
    <w:basedOn w:val="Normal"/>
    <w:uiPriority w:val="34"/>
    <w:qFormat/>
    <w:rsid w:val="00E40C31"/>
    <w:pPr>
      <w:ind w:left="720"/>
      <w:contextualSpacing/>
    </w:pPr>
  </w:style>
  <w:style w:type="character" w:styleId="Emphasis">
    <w:name w:val="Emphasis"/>
    <w:basedOn w:val="DefaultParagraphFont"/>
    <w:uiPriority w:val="20"/>
    <w:qFormat/>
    <w:rsid w:val="00E40C31"/>
    <w:rPr>
      <w:i/>
      <w:iCs/>
      <w:color w:val="629F44" w:themeColor="accent1"/>
    </w:rPr>
  </w:style>
  <w:style w:type="paragraph" w:styleId="FootnoteText">
    <w:name w:val="footnote text"/>
    <w:basedOn w:val="Normal"/>
    <w:link w:val="FootnoteTextChar"/>
    <w:uiPriority w:val="99"/>
    <w:semiHidden/>
    <w:unhideWhenUsed/>
    <w:rsid w:val="000775B6"/>
    <w:pPr>
      <w:spacing w:after="0"/>
    </w:pPr>
    <w:rPr>
      <w:sz w:val="20"/>
      <w:szCs w:val="20"/>
    </w:rPr>
  </w:style>
  <w:style w:type="character" w:customStyle="1" w:styleId="FootnoteTextChar">
    <w:name w:val="Footnote Text Char"/>
    <w:basedOn w:val="DefaultParagraphFont"/>
    <w:link w:val="FootnoteText"/>
    <w:uiPriority w:val="99"/>
    <w:semiHidden/>
    <w:rsid w:val="000775B6"/>
    <w:rPr>
      <w:sz w:val="20"/>
      <w:szCs w:val="20"/>
    </w:rPr>
  </w:style>
  <w:style w:type="character" w:styleId="FootnoteReference">
    <w:name w:val="footnote reference"/>
    <w:basedOn w:val="DefaultParagraphFont"/>
    <w:uiPriority w:val="99"/>
    <w:semiHidden/>
    <w:unhideWhenUsed/>
    <w:rsid w:val="000775B6"/>
    <w:rPr>
      <w:vertAlign w:val="superscript"/>
    </w:rPr>
  </w:style>
  <w:style w:type="paragraph" w:styleId="TOCHeading">
    <w:name w:val="TOC Heading"/>
    <w:basedOn w:val="Heading1"/>
    <w:next w:val="Normal"/>
    <w:uiPriority w:val="39"/>
    <w:unhideWhenUsed/>
    <w:qFormat/>
    <w:rsid w:val="000775B6"/>
    <w:pPr>
      <w:spacing w:line="259" w:lineRule="auto"/>
      <w:outlineLvl w:val="9"/>
    </w:pPr>
    <w:rPr>
      <w:color w:val="497733" w:themeColor="accent1" w:themeShade="BF"/>
    </w:rPr>
  </w:style>
  <w:style w:type="paragraph" w:styleId="TOC1">
    <w:name w:val="toc 1"/>
    <w:basedOn w:val="Normal"/>
    <w:next w:val="Normal"/>
    <w:autoRedefine/>
    <w:uiPriority w:val="39"/>
    <w:unhideWhenUsed/>
    <w:rsid w:val="000775B6"/>
    <w:pPr>
      <w:spacing w:after="100"/>
    </w:pPr>
  </w:style>
  <w:style w:type="paragraph" w:styleId="TOC2">
    <w:name w:val="toc 2"/>
    <w:basedOn w:val="Normal"/>
    <w:next w:val="Normal"/>
    <w:autoRedefine/>
    <w:uiPriority w:val="39"/>
    <w:unhideWhenUsed/>
    <w:rsid w:val="000775B6"/>
    <w:pPr>
      <w:spacing w:after="100"/>
      <w:ind w:left="220"/>
    </w:pPr>
  </w:style>
  <w:style w:type="paragraph" w:styleId="TOC3">
    <w:name w:val="toc 3"/>
    <w:basedOn w:val="Normal"/>
    <w:next w:val="Normal"/>
    <w:autoRedefine/>
    <w:uiPriority w:val="39"/>
    <w:unhideWhenUsed/>
    <w:rsid w:val="000775B6"/>
    <w:pPr>
      <w:spacing w:after="100"/>
      <w:ind w:left="440"/>
    </w:pPr>
  </w:style>
  <w:style w:type="paragraph" w:styleId="Quote">
    <w:name w:val="Quote"/>
    <w:basedOn w:val="Normal"/>
    <w:next w:val="Normal"/>
    <w:link w:val="QuoteChar"/>
    <w:uiPriority w:val="29"/>
    <w:qFormat/>
    <w:rsid w:val="000E31F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E31F9"/>
    <w:rPr>
      <w:i/>
      <w:iCs/>
      <w:color w:val="404040" w:themeColor="text1" w:themeTint="BF"/>
    </w:rPr>
  </w:style>
  <w:style w:type="table" w:customStyle="1" w:styleId="AIRA2">
    <w:name w:val="AIRA 2"/>
    <w:basedOn w:val="TableNormal"/>
    <w:uiPriority w:val="99"/>
    <w:rsid w:val="005F212D"/>
    <w:pPr>
      <w:spacing w:after="0"/>
    </w:pPr>
    <w:tblPr>
      <w:tblStyleRow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blStylePr w:type="firstRow">
      <w:rPr>
        <w:b/>
      </w:rPr>
      <w:tblPr/>
      <w:tcPr>
        <w:shd w:val="clear" w:color="auto" w:fill="1C3C50" w:themeFill="accent2"/>
      </w:tcPr>
    </w:tblStylePr>
    <w:tblStylePr w:type="band1Horz">
      <w:tblPr/>
      <w:tcPr>
        <w:shd w:val="clear" w:color="auto" w:fill="F2F2F2" w:themeFill="background1" w:themeFillShade="F2"/>
      </w:tcPr>
    </w:tblStylePr>
    <w:tblStylePr w:type="band2Horz">
      <w:tblPr/>
      <w:tcPr>
        <w:shd w:val="clear" w:color="auto" w:fill="CCD5DA" w:themeFill="accent3" w:themeFillTint="66"/>
      </w:tcPr>
    </w:tblStylePr>
  </w:style>
  <w:style w:type="paragraph" w:styleId="BalloonText">
    <w:name w:val="Balloon Text"/>
    <w:basedOn w:val="Normal"/>
    <w:link w:val="BalloonTextChar"/>
    <w:uiPriority w:val="99"/>
    <w:semiHidden/>
    <w:unhideWhenUsed/>
    <w:rsid w:val="007A38B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8B6"/>
    <w:rPr>
      <w:rFonts w:ascii="Segoe UI" w:hAnsi="Segoe UI" w:cs="Segoe UI"/>
      <w:sz w:val="18"/>
      <w:szCs w:val="18"/>
    </w:rPr>
  </w:style>
  <w:style w:type="character" w:styleId="CommentReference">
    <w:name w:val="annotation reference"/>
    <w:basedOn w:val="DefaultParagraphFont"/>
    <w:uiPriority w:val="99"/>
    <w:semiHidden/>
    <w:unhideWhenUsed/>
    <w:rsid w:val="00E01595"/>
    <w:rPr>
      <w:sz w:val="16"/>
      <w:szCs w:val="16"/>
    </w:rPr>
  </w:style>
  <w:style w:type="paragraph" w:styleId="CommentText">
    <w:name w:val="annotation text"/>
    <w:basedOn w:val="Normal"/>
    <w:link w:val="CommentTextChar"/>
    <w:uiPriority w:val="99"/>
    <w:semiHidden/>
    <w:unhideWhenUsed/>
    <w:rsid w:val="00E01595"/>
    <w:rPr>
      <w:sz w:val="20"/>
      <w:szCs w:val="20"/>
    </w:rPr>
  </w:style>
  <w:style w:type="character" w:customStyle="1" w:styleId="CommentTextChar">
    <w:name w:val="Comment Text Char"/>
    <w:basedOn w:val="DefaultParagraphFont"/>
    <w:link w:val="CommentText"/>
    <w:uiPriority w:val="99"/>
    <w:semiHidden/>
    <w:rsid w:val="00E01595"/>
    <w:rPr>
      <w:sz w:val="20"/>
      <w:szCs w:val="20"/>
    </w:rPr>
  </w:style>
  <w:style w:type="paragraph" w:styleId="CommentSubject">
    <w:name w:val="annotation subject"/>
    <w:basedOn w:val="CommentText"/>
    <w:next w:val="CommentText"/>
    <w:link w:val="CommentSubjectChar"/>
    <w:uiPriority w:val="99"/>
    <w:semiHidden/>
    <w:unhideWhenUsed/>
    <w:rsid w:val="00E01595"/>
    <w:rPr>
      <w:b/>
      <w:bCs/>
    </w:rPr>
  </w:style>
  <w:style w:type="character" w:customStyle="1" w:styleId="CommentSubjectChar">
    <w:name w:val="Comment Subject Char"/>
    <w:basedOn w:val="CommentTextChar"/>
    <w:link w:val="CommentSubject"/>
    <w:uiPriority w:val="99"/>
    <w:semiHidden/>
    <w:rsid w:val="00E015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109391">
      <w:bodyDiv w:val="1"/>
      <w:marLeft w:val="0"/>
      <w:marRight w:val="0"/>
      <w:marTop w:val="0"/>
      <w:marBottom w:val="0"/>
      <w:divBdr>
        <w:top w:val="none" w:sz="0" w:space="0" w:color="auto"/>
        <w:left w:val="none" w:sz="0" w:space="0" w:color="auto"/>
        <w:bottom w:val="none" w:sz="0" w:space="0" w:color="auto"/>
        <w:right w:val="none" w:sz="0" w:space="0" w:color="auto"/>
      </w:divBdr>
    </w:div>
    <w:div w:id="277218793">
      <w:bodyDiv w:val="1"/>
      <w:marLeft w:val="0"/>
      <w:marRight w:val="0"/>
      <w:marTop w:val="0"/>
      <w:marBottom w:val="0"/>
      <w:divBdr>
        <w:top w:val="none" w:sz="0" w:space="0" w:color="auto"/>
        <w:left w:val="none" w:sz="0" w:space="0" w:color="auto"/>
        <w:bottom w:val="none" w:sz="0" w:space="0" w:color="auto"/>
        <w:right w:val="none" w:sz="0" w:space="0" w:color="auto"/>
      </w:divBdr>
    </w:div>
    <w:div w:id="591400506">
      <w:bodyDiv w:val="1"/>
      <w:marLeft w:val="0"/>
      <w:marRight w:val="0"/>
      <w:marTop w:val="0"/>
      <w:marBottom w:val="0"/>
      <w:divBdr>
        <w:top w:val="none" w:sz="0" w:space="0" w:color="auto"/>
        <w:left w:val="none" w:sz="0" w:space="0" w:color="auto"/>
        <w:bottom w:val="none" w:sz="0" w:space="0" w:color="auto"/>
        <w:right w:val="none" w:sz="0" w:space="0" w:color="auto"/>
      </w:divBdr>
    </w:div>
    <w:div w:id="898173937">
      <w:bodyDiv w:val="1"/>
      <w:marLeft w:val="0"/>
      <w:marRight w:val="0"/>
      <w:marTop w:val="0"/>
      <w:marBottom w:val="0"/>
      <w:divBdr>
        <w:top w:val="none" w:sz="0" w:space="0" w:color="auto"/>
        <w:left w:val="none" w:sz="0" w:space="0" w:color="auto"/>
        <w:bottom w:val="none" w:sz="0" w:space="0" w:color="auto"/>
        <w:right w:val="none" w:sz="0" w:space="0" w:color="auto"/>
      </w:divBdr>
    </w:div>
    <w:div w:id="1307662271">
      <w:bodyDiv w:val="1"/>
      <w:marLeft w:val="0"/>
      <w:marRight w:val="0"/>
      <w:marTop w:val="0"/>
      <w:marBottom w:val="0"/>
      <w:divBdr>
        <w:top w:val="none" w:sz="0" w:space="0" w:color="auto"/>
        <w:left w:val="none" w:sz="0" w:space="0" w:color="auto"/>
        <w:bottom w:val="none" w:sz="0" w:space="0" w:color="auto"/>
        <w:right w:val="none" w:sz="0" w:space="0" w:color="auto"/>
      </w:divBdr>
    </w:div>
    <w:div w:id="1334452465">
      <w:bodyDiv w:val="1"/>
      <w:marLeft w:val="0"/>
      <w:marRight w:val="0"/>
      <w:marTop w:val="0"/>
      <w:marBottom w:val="0"/>
      <w:divBdr>
        <w:top w:val="none" w:sz="0" w:space="0" w:color="auto"/>
        <w:left w:val="none" w:sz="0" w:space="0" w:color="auto"/>
        <w:bottom w:val="none" w:sz="0" w:space="0" w:color="auto"/>
        <w:right w:val="none" w:sz="0" w:space="0" w:color="auto"/>
      </w:divBdr>
    </w:div>
    <w:div w:id="1522014886">
      <w:bodyDiv w:val="1"/>
      <w:marLeft w:val="0"/>
      <w:marRight w:val="0"/>
      <w:marTop w:val="0"/>
      <w:marBottom w:val="0"/>
      <w:divBdr>
        <w:top w:val="none" w:sz="0" w:space="0" w:color="auto"/>
        <w:left w:val="none" w:sz="0" w:space="0" w:color="auto"/>
        <w:bottom w:val="none" w:sz="0" w:space="0" w:color="auto"/>
        <w:right w:val="none" w:sz="0" w:space="0" w:color="auto"/>
      </w:divBdr>
    </w:div>
    <w:div w:id="206578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da.gov/emergency-preparedness-and-response/mcm-legal-regulatory-and-policy-framework/pfizer-biontech-covid-19-vaccine-frequently-asked-questions" TargetMode="External"/><Relationship Id="rId13" Type="http://schemas.openxmlformats.org/officeDocument/2006/relationships/hyperlink" Target="mailto:VTrckSExIS@cdc.gov" TargetMode="External"/><Relationship Id="rId18" Type="http://schemas.openxmlformats.org/officeDocument/2006/relationships/hyperlink" Target="mailto:DCHInfo@cdc.go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eocevent416@cdc.gov" TargetMode="External"/><Relationship Id="rId7" Type="http://schemas.openxmlformats.org/officeDocument/2006/relationships/endnotes" Target="endnotes.xml"/><Relationship Id="rId12" Type="http://schemas.openxmlformats.org/officeDocument/2006/relationships/hyperlink" Target="mailto:IZDLhelpdesk@cdc.gov" TargetMode="External"/><Relationship Id="rId17" Type="http://schemas.openxmlformats.org/officeDocument/2006/relationships/hyperlink" Target="mailto:IZGateway@hhs.gov"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Eocevent522@cdc.gov" TargetMode="External"/><Relationship Id="rId20" Type="http://schemas.openxmlformats.org/officeDocument/2006/relationships/hyperlink" Target="mailto:VAMSHelp@cdc.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ISInfo@cdc.gov" TargetMode="External"/><Relationship Id="rId24" Type="http://schemas.openxmlformats.org/officeDocument/2006/relationships/hyperlink" Target="mailto:ows-support-microplanning@palantir.com" TargetMode="External"/><Relationship Id="rId5" Type="http://schemas.openxmlformats.org/officeDocument/2006/relationships/webSettings" Target="webSettings.xml"/><Relationship Id="rId15" Type="http://schemas.openxmlformats.org/officeDocument/2006/relationships/hyperlink" Target="mailto:Vaccineordermgmt@cdc.gov" TargetMode="External"/><Relationship Id="rId23" Type="http://schemas.openxmlformats.org/officeDocument/2006/relationships/hyperlink" Target="mailto:ows-support@palantir.com" TargetMode="External"/><Relationship Id="rId10" Type="http://schemas.openxmlformats.org/officeDocument/2006/relationships/hyperlink" Target="mailto:VTrckSExIS@cdc.gov" TargetMode="External"/><Relationship Id="rId19" Type="http://schemas.openxmlformats.org/officeDocument/2006/relationships/hyperlink" Target="mailto:eocevent481@cdc.gov" TargetMode="External"/><Relationship Id="rId4" Type="http://schemas.openxmlformats.org/officeDocument/2006/relationships/settings" Target="settings.xml"/><Relationship Id="rId9" Type="http://schemas.openxmlformats.org/officeDocument/2006/relationships/hyperlink" Target="https://repository.immregistries.org/resource/immunization-information-system-inventory-management-operations/" TargetMode="External"/><Relationship Id="rId14" Type="http://schemas.openxmlformats.org/officeDocument/2006/relationships/hyperlink" Target="mailto:VTrckSExIS@cdc.gov" TargetMode="External"/><Relationship Id="rId22" Type="http://schemas.openxmlformats.org/officeDocument/2006/relationships/hyperlink" Target="mailto:Protect-ServiceDesk@hhs.go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AIRA Main Style">
      <a:dk1>
        <a:sysClr val="windowText" lastClr="000000"/>
      </a:dk1>
      <a:lt1>
        <a:sysClr val="window" lastClr="FFFFFF"/>
      </a:lt1>
      <a:dk2>
        <a:srgbClr val="1C3C50"/>
      </a:dk2>
      <a:lt2>
        <a:srgbClr val="CCCCCB"/>
      </a:lt2>
      <a:accent1>
        <a:srgbClr val="629F44"/>
      </a:accent1>
      <a:accent2>
        <a:srgbClr val="1C3C50"/>
      </a:accent2>
      <a:accent3>
        <a:srgbClr val="8098A4"/>
      </a:accent3>
      <a:accent4>
        <a:srgbClr val="C9E2CA"/>
      </a:accent4>
      <a:accent5>
        <a:srgbClr val="ECBC0A"/>
      </a:accent5>
      <a:accent6>
        <a:srgbClr val="F2F2F2"/>
      </a:accent6>
      <a:hlink>
        <a:srgbClr val="629F44"/>
      </a:hlink>
      <a:folHlink>
        <a:srgbClr val="629F44"/>
      </a:folHlink>
    </a:clrScheme>
    <a:fontScheme name="AIRA Main">
      <a:majorFont>
        <a:latin typeface="Open Sans Light"/>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0CE4B-83C6-4B47-A188-B8AB7147D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1074</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Carmela Gupta</dc:creator>
  <cp:keywords/>
  <dc:description/>
  <cp:lastModifiedBy>Carmela Gupta</cp:lastModifiedBy>
  <cp:revision>2</cp:revision>
  <dcterms:created xsi:type="dcterms:W3CDTF">2020-12-18T22:51:00Z</dcterms:created>
  <dcterms:modified xsi:type="dcterms:W3CDTF">2020-12-18T22:51:00Z</dcterms:modified>
</cp:coreProperties>
</file>